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jc w:val="center"/>
        <w:rPr>
          <w:sz w:val="18"/>
        </w:rPr>
      </w:pPr>
      <w:r>
        <w:drawing>
          <wp:inline>
            <wp:extent cx="552450" cy="70485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552450" cy="704850"/>
                    </a:xfrm>
                    <a:prstGeom prst="rect"/>
                  </pic:spPr>
                </pic:pic>
              </a:graphicData>
            </a:graphic>
          </wp:inline>
        </w:drawing>
      </w:r>
      <w:r>
        <w:t xml:space="preserve"> </w: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5014595</wp:posOffset>
                </wp:positionH>
                <wp:positionV relativeFrom="paragraph">
                  <wp:posOffset>-53339</wp:posOffset>
                </wp:positionV>
                <wp:extent cx="839470" cy="276225"/>
                <wp:wrapNone/>
                <wp:docPr hidden="false" id="3" name="Picture 3"/>
                <a:graphic>
                  <a:graphicData uri="http://schemas.microsoft.com/office/word/2010/wordprocessingShape">
                    <wps:wsp>
                      <wps:cNvSpPr txBox="false"/>
                      <wps:spPr>
                        <a:xfrm flipH="false" flipV="false" rot="0">
                          <a:off x="0" y="0"/>
                          <a:ext cx="839470" cy="27622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04000000">
                            <w:pPr>
                              <w:ind/>
                              <w:jc w:val="center"/>
                            </w:pPr>
                            <w:r>
                              <w:t>ПРОЕКТ</w:t>
                            </w:r>
                          </w:p>
                        </w:txbxContent>
                      </wps:txbx>
                      <wps:bodyPr anchor="t"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5000000">
      <w:pPr>
        <w:ind/>
        <w:jc w:val="center"/>
        <w:rPr>
          <w:sz w:val="18"/>
        </w:rPr>
      </w:pPr>
    </w:p>
    <w:tbl>
      <w:tblPr>
        <w:tblStyle w:val="Style_2"/>
        <w:tblW w:type="auto" w:w="0"/>
        <w:tblInd w:type="dxa" w:w="0"/>
        <w:tblLayout w:type="fixed"/>
        <w:tblCellMar>
          <w:top w:type="dxa" w:w="0"/>
          <w:left w:type="dxa" w:w="108"/>
          <w:bottom w:type="dxa" w:w="0"/>
          <w:right w:type="dxa" w:w="108"/>
        </w:tblCellMar>
      </w:tblPr>
      <w:tblGrid>
        <w:gridCol w:w="9356"/>
      </w:tblGrid>
      <w:tr>
        <w:trPr>
          <w:trHeight w:hRule="atLeast" w:val="511"/>
        </w:trPr>
        <w:tc>
          <w:tcPr>
            <w:tcW w:type="dxa" w:w="9356"/>
            <w:tcMar>
              <w:top w:type="dxa" w:w="0"/>
              <w:left w:type="dxa" w:w="108"/>
              <w:bottom w:type="dxa" w:w="0"/>
              <w:right w:type="dxa" w:w="108"/>
            </w:tcMar>
          </w:tcPr>
          <w:p w14:paraId="06000000">
            <w:pPr>
              <w:pStyle w:val="Style_3"/>
              <w:rPr>
                <w:sz w:val="24"/>
              </w:rPr>
            </w:pPr>
            <w:r>
              <w:rPr>
                <w:sz w:val="24"/>
              </w:rPr>
              <w:t xml:space="preserve">КОМИТЕТ ПО ОХРАНЕ ОБЪЕКТОВ КУЛЬТУРНОГО НАСЛЕДИЯ </w:t>
            </w:r>
          </w:p>
          <w:p w14:paraId="07000000">
            <w:pPr>
              <w:pStyle w:val="Style_3"/>
              <w:rPr>
                <w:sz w:val="24"/>
              </w:rPr>
            </w:pPr>
            <w:r>
              <w:rPr>
                <w:sz w:val="24"/>
              </w:rPr>
              <w:t xml:space="preserve"> ЧУКОТСКОГО АВТОНОМНОГО ОКРУГА</w:t>
            </w:r>
          </w:p>
        </w:tc>
      </w:tr>
    </w:tbl>
    <w:p w14:paraId="08000000">
      <w:pPr>
        <w:ind w:firstLine="1418" w:left="-1418"/>
        <w:jc w:val="right"/>
        <w:rPr>
          <w:sz w:val="18"/>
        </w:rPr>
      </w:pPr>
    </w:p>
    <w:p w14:paraId="09000000">
      <w:pPr>
        <w:pStyle w:val="Style_3"/>
        <w:keepNext w:val="0"/>
        <w:ind/>
        <w:rPr>
          <w:sz w:val="28"/>
        </w:rPr>
      </w:pPr>
      <w:r>
        <w:rPr>
          <w:sz w:val="28"/>
        </w:rPr>
        <w:t>П Р И К А З</w:t>
      </w:r>
    </w:p>
    <w:p w14:paraId="0A000000">
      <w:pPr>
        <w:rPr>
          <w:sz w:val="13"/>
        </w:rPr>
      </w:pPr>
    </w:p>
    <w:p w14:paraId="0B000000">
      <w:pPr>
        <w:rPr>
          <w:sz w:val="13"/>
        </w:rPr>
      </w:pPr>
    </w:p>
    <w:tbl>
      <w:tblPr>
        <w:tblStyle w:val="Style_2"/>
        <w:tblW w:type="auto" w:w="0"/>
        <w:tblInd w:type="dxa" w:w="18"/>
        <w:tblLayout w:type="fixed"/>
      </w:tblPr>
      <w:tblGrid>
        <w:gridCol w:w="540"/>
        <w:gridCol w:w="2700"/>
        <w:gridCol w:w="720"/>
        <w:gridCol w:w="540"/>
        <w:gridCol w:w="1530"/>
        <w:gridCol w:w="3274"/>
      </w:tblGrid>
      <w:tr>
        <w:tc>
          <w:tcPr>
            <w:tcW w:type="dxa" w:w="540"/>
            <w:vAlign w:val="center"/>
          </w:tcPr>
          <w:p w14:paraId="0C000000">
            <w:pPr>
              <w:pStyle w:val="Style_1"/>
              <w:tabs>
                <w:tab w:leader="none" w:pos="708" w:val="left"/>
              </w:tabs>
              <w:ind/>
              <w:rPr>
                <w:b w:val="1"/>
                <w:sz w:val="27"/>
              </w:rPr>
            </w:pPr>
            <w:r>
              <w:rPr>
                <w:b w:val="1"/>
                <w:sz w:val="26"/>
              </w:rPr>
              <w:t>от</w:t>
            </w:r>
          </w:p>
        </w:tc>
        <w:tc>
          <w:tcPr>
            <w:tcW w:type="dxa" w:w="2700"/>
            <w:vAlign w:val="center"/>
          </w:tcPr>
          <w:p w14:paraId="0D000000">
            <w:pPr>
              <w:pStyle w:val="Style_1"/>
              <w:tabs>
                <w:tab w:leader="none" w:pos="708" w:val="left"/>
              </w:tabs>
              <w:ind/>
              <w:rPr>
                <w:b w:val="1"/>
                <w:sz w:val="28"/>
              </w:rPr>
            </w:pPr>
            <w:r>
              <w:rPr>
                <w:b w:val="1"/>
                <w:sz w:val="28"/>
              </w:rPr>
              <w:t>00</w:t>
            </w:r>
            <w:r>
              <w:rPr>
                <w:b w:val="1"/>
                <w:sz w:val="28"/>
              </w:rPr>
              <w:t>.</w:t>
            </w:r>
            <w:r>
              <w:rPr>
                <w:b w:val="1"/>
                <w:sz w:val="28"/>
              </w:rPr>
              <w:t>00</w:t>
            </w:r>
            <w:r>
              <w:rPr>
                <w:b w:val="1"/>
                <w:sz w:val="28"/>
              </w:rPr>
              <w:t>.202</w:t>
            </w:r>
            <w:r>
              <w:rPr>
                <w:b w:val="1"/>
                <w:sz w:val="28"/>
              </w:rPr>
              <w:t>4</w:t>
            </w:r>
            <w:r>
              <w:rPr>
                <w:b w:val="1"/>
                <w:sz w:val="28"/>
              </w:rPr>
              <w:t xml:space="preserve"> г.</w:t>
            </w:r>
          </w:p>
        </w:tc>
        <w:tc>
          <w:tcPr>
            <w:tcW w:type="dxa" w:w="720"/>
            <w:vAlign w:val="center"/>
          </w:tcPr>
          <w:p w14:paraId="0E000000">
            <w:pPr>
              <w:pStyle w:val="Style_1"/>
              <w:tabs>
                <w:tab w:leader="none" w:pos="708" w:val="left"/>
              </w:tabs>
              <w:ind/>
              <w:jc w:val="center"/>
              <w:rPr>
                <w:b w:val="1"/>
                <w:sz w:val="26"/>
              </w:rPr>
            </w:pPr>
          </w:p>
        </w:tc>
        <w:tc>
          <w:tcPr>
            <w:tcW w:type="dxa" w:w="540"/>
            <w:vAlign w:val="center"/>
          </w:tcPr>
          <w:p w14:paraId="0F000000">
            <w:pPr>
              <w:pStyle w:val="Style_1"/>
              <w:tabs>
                <w:tab w:leader="none" w:pos="708" w:val="left"/>
              </w:tabs>
              <w:ind/>
              <w:jc w:val="center"/>
              <w:rPr>
                <w:b w:val="1"/>
                <w:sz w:val="27"/>
              </w:rPr>
            </w:pPr>
            <w:r>
              <w:rPr>
                <w:b w:val="1"/>
                <w:sz w:val="27"/>
              </w:rPr>
              <w:t>№</w:t>
            </w:r>
          </w:p>
        </w:tc>
        <w:tc>
          <w:tcPr>
            <w:tcW w:type="dxa" w:w="1530"/>
            <w:vAlign w:val="center"/>
          </w:tcPr>
          <w:p w14:paraId="10000000">
            <w:pPr>
              <w:pStyle w:val="Style_1"/>
              <w:tabs>
                <w:tab w:leader="none" w:pos="708" w:val="left"/>
              </w:tabs>
              <w:ind/>
              <w:jc w:val="center"/>
              <w:rPr>
                <w:b w:val="1"/>
                <w:sz w:val="28"/>
              </w:rPr>
            </w:pPr>
            <w:r>
              <w:rPr>
                <w:b w:val="1"/>
                <w:sz w:val="28"/>
              </w:rPr>
              <w:t>02-01/0</w:t>
            </w:r>
            <w:r>
              <w:rPr>
                <w:b w:val="1"/>
                <w:sz w:val="28"/>
              </w:rPr>
              <w:t>00</w:t>
            </w:r>
          </w:p>
        </w:tc>
        <w:tc>
          <w:tcPr>
            <w:tcW w:type="dxa" w:w="3274"/>
            <w:vAlign w:val="center"/>
          </w:tcPr>
          <w:p w14:paraId="11000000">
            <w:pPr>
              <w:pStyle w:val="Style_1"/>
              <w:tabs>
                <w:tab w:leader="none" w:pos="708" w:val="left"/>
              </w:tabs>
              <w:ind/>
              <w:jc w:val="right"/>
              <w:rPr>
                <w:b w:val="1"/>
                <w:sz w:val="28"/>
              </w:rPr>
            </w:pPr>
            <w:r>
              <w:rPr>
                <w:b w:val="1"/>
                <w:sz w:val="28"/>
              </w:rPr>
              <w:t>г. Анадырь</w:t>
            </w:r>
          </w:p>
        </w:tc>
      </w:tr>
    </w:tbl>
    <w:p w14:paraId="12000000">
      <w:pPr>
        <w:ind/>
        <w:jc w:val="both"/>
        <w:outlineLvl w:val="2"/>
        <w:rPr>
          <w:sz w:val="25"/>
        </w:rPr>
      </w:pPr>
    </w:p>
    <w:tbl>
      <w:tblPr>
        <w:tblStyle w:val="Style_2"/>
        <w:tblW w:type="auto" w:w="0"/>
        <w:tblInd w:type="dxa" w:w="18"/>
        <w:tblLayout w:type="fixed"/>
        <w:tblCellMar>
          <w:top w:type="dxa" w:w="0"/>
          <w:left w:type="dxa" w:w="108"/>
          <w:bottom w:type="dxa" w:w="0"/>
          <w:right w:type="dxa" w:w="108"/>
        </w:tblCellMar>
      </w:tblPr>
      <w:tblGrid>
        <w:gridCol w:w="9356"/>
      </w:tblGrid>
      <w:tr>
        <w:trPr>
          <w:trHeight w:hRule="atLeast" w:val="924"/>
        </w:trPr>
        <w:tc>
          <w:tcPr>
            <w:tcW w:type="dxa" w:w="9356"/>
            <w:tcMar>
              <w:top w:type="dxa" w:w="0"/>
              <w:left w:type="dxa" w:w="108"/>
              <w:bottom w:type="dxa" w:w="0"/>
              <w:right w:type="dxa" w:w="108"/>
            </w:tcMar>
          </w:tcPr>
          <w:p w14:paraId="13000000">
            <w:pPr>
              <w:ind/>
              <w:jc w:val="center"/>
              <w:rPr>
                <w:b w:val="1"/>
                <w:sz w:val="28"/>
              </w:rPr>
            </w:pPr>
            <w:r>
              <w:rPr>
                <w:b w:val="1"/>
                <w:color w:val="000000"/>
                <w:sz w:val="28"/>
              </w:rPr>
              <w:t>Об утверждении программ профилактики</w:t>
            </w:r>
            <w:r>
              <w:rPr>
                <w:b w:val="1"/>
                <w:sz w:val="28"/>
              </w:rPr>
              <w:t xml:space="preserve"> рисков </w:t>
            </w:r>
            <w:r>
              <w:rPr>
                <w:b w:val="1"/>
                <w:sz w:val="28"/>
              </w:rPr>
              <w:t xml:space="preserve">причинения вреда (ущерба) охраняемым </w:t>
            </w:r>
            <w:r>
              <w:rPr>
                <w:b w:val="1"/>
                <w:sz w:val="28"/>
              </w:rPr>
              <w:t xml:space="preserve">законом ценностям в области охраны объектов </w:t>
            </w:r>
            <w:r>
              <w:rPr>
                <w:b w:val="1"/>
                <w:sz w:val="28"/>
              </w:rPr>
              <w:t>культурного наследия на 202</w:t>
            </w:r>
            <w:r>
              <w:rPr>
                <w:b w:val="1"/>
                <w:sz w:val="28"/>
              </w:rPr>
              <w:t>5</w:t>
            </w:r>
            <w:r>
              <w:rPr>
                <w:b w:val="1"/>
                <w:sz w:val="28"/>
              </w:rPr>
              <w:t xml:space="preserve"> год</w:t>
            </w:r>
          </w:p>
        </w:tc>
      </w:tr>
    </w:tbl>
    <w:p w14:paraId="14000000">
      <w:pPr>
        <w:rPr>
          <w:sz w:val="28"/>
        </w:rPr>
      </w:pPr>
    </w:p>
    <w:p w14:paraId="15000000">
      <w:pPr>
        <w:ind w:firstLine="709" w:left="0"/>
        <w:jc w:val="both"/>
        <w:rPr>
          <w:sz w:val="28"/>
        </w:rPr>
      </w:pPr>
      <w:r>
        <w:rPr>
          <w:sz w:val="28"/>
        </w:rPr>
        <w:t xml:space="preserve">В соответствии с </w:t>
      </w:r>
      <w:r>
        <w:rPr>
          <w:color w:val="0000FF"/>
          <w:sz w:val="28"/>
        </w:rPr>
        <w:fldChar w:fldCharType="begin"/>
      </w:r>
      <w:r>
        <w:rPr>
          <w:color w:val="0000FF"/>
          <w:sz w:val="28"/>
        </w:rPr>
        <w:instrText>HYPERLINK "consultantplus://offline/ref=E88300948E15F342C506F9B50363FE2945EAF3E786A1FC123A25E5C0BDA03371BDE94013F4359972198F0570EDB430AAF94F0236D2B9FE57SEqDG"</w:instrText>
      </w:r>
      <w:r>
        <w:rPr>
          <w:color w:val="0000FF"/>
          <w:sz w:val="28"/>
        </w:rPr>
        <w:fldChar w:fldCharType="separate"/>
      </w:r>
      <w:r>
        <w:rPr>
          <w:color w:val="0000FF"/>
          <w:sz w:val="28"/>
        </w:rPr>
        <w:t>частью 4 статьи 44</w:t>
      </w:r>
      <w:r>
        <w:rPr>
          <w:color w:val="0000FF"/>
          <w:sz w:val="28"/>
        </w:rPr>
        <w:fldChar w:fldCharType="end"/>
      </w:r>
      <w:r>
        <w:rPr>
          <w:sz w:val="28"/>
        </w:rPr>
        <w:t xml:space="preserve"> </w:t>
      </w:r>
      <w:r>
        <w:rPr>
          <w:sz w:val="28"/>
        </w:rPr>
        <w:t>от 31.07.2020 №</w:t>
      </w:r>
      <w:r>
        <w:rPr>
          <w:sz w:val="28"/>
        </w:rPr>
        <w:t xml:space="preserve"> 248-ФЗ</w:t>
      </w:r>
      <w:r>
        <w:rPr>
          <w:sz w:val="28"/>
        </w:rPr>
        <w:t xml:space="preserve"> Федерального закона </w:t>
      </w:r>
      <w:r>
        <w:rPr>
          <w:sz w:val="28"/>
        </w:rPr>
        <w:t>«</w:t>
      </w:r>
      <w:r>
        <w:rPr>
          <w:sz w:val="28"/>
        </w:rPr>
        <w:t>О государственном контроле (надзоре) и муниципальном контроле в Российской Федерации</w:t>
      </w:r>
      <w:r>
        <w:rPr>
          <w:sz w:val="28"/>
        </w:rPr>
        <w:t>»</w:t>
      </w:r>
      <w:r>
        <w:rPr>
          <w:sz w:val="28"/>
        </w:rPr>
        <w:t xml:space="preserve">, </w:t>
      </w:r>
      <w:r>
        <w:rPr>
          <w:sz w:val="28"/>
        </w:rPr>
        <w:t>Постановление Правительства Р</w:t>
      </w:r>
      <w:r>
        <w:rPr>
          <w:sz w:val="28"/>
        </w:rPr>
        <w:t xml:space="preserve">оссийской </w:t>
      </w:r>
      <w:r>
        <w:rPr>
          <w:sz w:val="28"/>
        </w:rPr>
        <w:t>Ф</w:t>
      </w:r>
      <w:r>
        <w:rPr>
          <w:sz w:val="28"/>
        </w:rPr>
        <w:t>едерации</w:t>
      </w:r>
      <w:r>
        <w:rPr>
          <w:sz w:val="28"/>
        </w:rPr>
        <w:t xml:space="preserve"> от 25.06.202</w:t>
      </w:r>
      <w:r>
        <w:rPr>
          <w:sz w:val="28"/>
        </w:rPr>
        <w:t>1 №</w:t>
      </w:r>
      <w:r>
        <w:rPr>
          <w:sz w:val="28"/>
        </w:rPr>
        <w:t xml:space="preserve"> 990</w:t>
      </w:r>
      <w:r>
        <w:rPr>
          <w:sz w:val="28"/>
        </w:rPr>
        <w:t xml:space="preserve"> «</w:t>
      </w:r>
      <w:r>
        <w:rPr>
          <w:sz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8"/>
        </w:rPr>
        <w:t>а) охраняемым законом ценностям»</w:t>
      </w:r>
    </w:p>
    <w:p w14:paraId="16000000">
      <w:pPr>
        <w:ind w:firstLine="709" w:left="0"/>
        <w:jc w:val="both"/>
        <w:rPr>
          <w:color w:val="000000"/>
          <w:sz w:val="26"/>
        </w:rPr>
      </w:pPr>
    </w:p>
    <w:p w14:paraId="17000000">
      <w:pPr>
        <w:ind w:firstLine="0" w:left="0"/>
        <w:jc w:val="both"/>
        <w:rPr>
          <w:color w:val="000000"/>
          <w:sz w:val="26"/>
        </w:rPr>
      </w:pPr>
      <w:r>
        <w:rPr>
          <w:b w:val="1"/>
          <w:color w:val="000000"/>
          <w:sz w:val="28"/>
        </w:rPr>
        <w:t>ПРИКАЗЫВАЮ:</w:t>
      </w:r>
    </w:p>
    <w:p w14:paraId="18000000">
      <w:pPr>
        <w:ind w:firstLine="709" w:left="0"/>
        <w:jc w:val="both"/>
        <w:outlineLvl w:val="0"/>
        <w:rPr>
          <w:sz w:val="28"/>
        </w:rPr>
      </w:pPr>
    </w:p>
    <w:p w14:paraId="19000000">
      <w:pPr>
        <w:ind w:firstLine="709" w:left="0"/>
        <w:jc w:val="both"/>
        <w:outlineLvl w:val="0"/>
        <w:rPr>
          <w:sz w:val="28"/>
        </w:rPr>
      </w:pPr>
      <w:r>
        <w:rPr>
          <w:sz w:val="28"/>
        </w:rPr>
        <w:t>1. Утвердить прилагаемые:</w:t>
      </w:r>
    </w:p>
    <w:p w14:paraId="1A000000">
      <w:pPr>
        <w:ind w:firstLine="709" w:left="0"/>
        <w:jc w:val="both"/>
        <w:outlineLvl w:val="0"/>
        <w:rPr>
          <w:sz w:val="28"/>
        </w:rPr>
      </w:pPr>
      <w:r>
        <w:rPr>
          <w:sz w:val="28"/>
        </w:rPr>
        <w:t>1</w:t>
      </w:r>
      <w:r>
        <w:rPr>
          <w:sz w:val="28"/>
        </w:rPr>
        <w:t>.1</w:t>
      </w:r>
      <w:r>
        <w:rPr>
          <w:sz w:val="28"/>
        </w:rPr>
        <w:t>.</w:t>
      </w:r>
      <w:r>
        <w:rPr>
          <w:sz w:val="28"/>
        </w:rPr>
        <w:t xml:space="preserve"> </w:t>
      </w:r>
      <w:r>
        <w:rPr>
          <w:sz w:val="28"/>
        </w:rPr>
        <w:t>П</w:t>
      </w:r>
      <w:r>
        <w:rPr>
          <w:sz w:val="28"/>
        </w:rPr>
        <w:t xml:space="preserve">рограмму </w:t>
      </w:r>
      <w:r>
        <w:rPr>
          <w:color w:val="000000"/>
          <w:sz w:val="28"/>
        </w:rPr>
        <w:t>профилактики</w:t>
      </w:r>
      <w:r>
        <w:rPr>
          <w:sz w:val="28"/>
        </w:rPr>
        <w:t xml:space="preserve"> рисков причинения вреда (ущерба) охраняемым законом ценностям при осуществлении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на территории </w:t>
      </w:r>
      <w:r>
        <w:rPr>
          <w:sz w:val="28"/>
        </w:rPr>
        <w:t xml:space="preserve">Чукотского автономного округа </w:t>
      </w:r>
      <w:r>
        <w:rPr>
          <w:sz w:val="28"/>
        </w:rPr>
        <w:t>на 202</w:t>
      </w:r>
      <w:r>
        <w:rPr>
          <w:sz w:val="28"/>
        </w:rPr>
        <w:t>5</w:t>
      </w:r>
      <w:r>
        <w:rPr>
          <w:sz w:val="28"/>
        </w:rPr>
        <w:t xml:space="preserve"> год согласно приложению № 1 к настоящему приказу;</w:t>
      </w:r>
    </w:p>
    <w:p w14:paraId="1B000000">
      <w:pPr>
        <w:ind w:firstLine="709" w:left="0"/>
        <w:jc w:val="both"/>
        <w:outlineLvl w:val="0"/>
        <w:rPr>
          <w:sz w:val="28"/>
        </w:rPr>
      </w:pPr>
      <w:r>
        <w:rPr>
          <w:sz w:val="28"/>
        </w:rPr>
        <w:t>1.2.</w:t>
      </w:r>
      <w:r>
        <w:rPr>
          <w:sz w:val="28"/>
        </w:rPr>
        <w:t xml:space="preserve"> </w:t>
      </w:r>
      <w:r>
        <w:rPr>
          <w:sz w:val="28"/>
        </w:rPr>
        <w:t>П</w:t>
      </w:r>
      <w:r>
        <w:rPr>
          <w:sz w:val="28"/>
        </w:rPr>
        <w:t xml:space="preserve">рограмму </w:t>
      </w:r>
      <w:r>
        <w:rPr>
          <w:color w:val="000000"/>
          <w:sz w:val="28"/>
        </w:rPr>
        <w:t>профилактики</w:t>
      </w:r>
      <w:r>
        <w:rPr>
          <w:sz w:val="28"/>
        </w:rPr>
        <w:t xml:space="preserve"> рисков причинения вреда (ущерба) охраняемым законом ценностям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муниципального (местного) значения, выявленных объектов культурного наследия на территории </w:t>
      </w:r>
      <w:r>
        <w:rPr>
          <w:sz w:val="28"/>
        </w:rPr>
        <w:t xml:space="preserve">Чукотского автономного округа </w:t>
      </w:r>
      <w:r>
        <w:rPr>
          <w:sz w:val="28"/>
        </w:rPr>
        <w:t>на 202</w:t>
      </w:r>
      <w:r>
        <w:rPr>
          <w:sz w:val="28"/>
        </w:rPr>
        <w:t>5</w:t>
      </w:r>
      <w:r>
        <w:rPr>
          <w:sz w:val="28"/>
        </w:rPr>
        <w:t xml:space="preserve"> год согласно приложению № 2 к настоящему приказу.</w:t>
      </w:r>
    </w:p>
    <w:p w14:paraId="1C000000">
      <w:pPr>
        <w:tabs>
          <w:tab w:leader="none" w:pos="9214" w:val="left"/>
        </w:tabs>
        <w:ind w:firstLine="709" w:left="0"/>
        <w:jc w:val="both"/>
        <w:outlineLvl w:val="0"/>
        <w:rPr>
          <w:sz w:val="28"/>
        </w:rPr>
      </w:pPr>
      <w:r>
        <w:rPr>
          <w:sz w:val="28"/>
        </w:rPr>
        <w:t xml:space="preserve">2. Разместить утверждаемые настоящим приказом программы профилактики на официальном сайте Комитета по охране объектов культурного наследия </w:t>
      </w:r>
      <w:r>
        <w:rPr>
          <w:sz w:val="28"/>
        </w:rPr>
        <w:t xml:space="preserve">Чукотского автономного округа </w:t>
      </w:r>
      <w:r>
        <w:rPr>
          <w:sz w:val="28"/>
        </w:rPr>
        <w:t>в течение пяти дней со дня утверждения.</w:t>
      </w:r>
    </w:p>
    <w:p w14:paraId="1D000000">
      <w:pPr>
        <w:tabs>
          <w:tab w:leader="none" w:pos="709" w:val="left"/>
        </w:tabs>
        <w:ind w:firstLine="709" w:left="0"/>
        <w:jc w:val="both"/>
        <w:outlineLvl w:val="0"/>
        <w:rPr>
          <w:color w:val="000000"/>
          <w:sz w:val="26"/>
        </w:rPr>
      </w:pPr>
      <w:r>
        <w:rPr>
          <w:sz w:val="28"/>
        </w:rPr>
        <w:t xml:space="preserve">3. Контроль за исполнением настоящего приказа </w:t>
      </w:r>
      <w:r>
        <w:rPr>
          <w:sz w:val="28"/>
        </w:rPr>
        <w:t>оставляю за собой.</w:t>
      </w:r>
    </w:p>
    <w:p w14:paraId="1E000000">
      <w:pPr>
        <w:rPr>
          <w:color w:val="000000"/>
          <w:sz w:val="26"/>
        </w:rPr>
      </w:pPr>
    </w:p>
    <w:p w14:paraId="1F000000">
      <w:pPr>
        <w:rPr>
          <w:color w:val="000000"/>
          <w:sz w:val="26"/>
        </w:rPr>
      </w:pPr>
      <w:bookmarkStart w:id="1" w:name="_GoBack"/>
      <w:bookmarkEnd w:id="1"/>
    </w:p>
    <w:p w14:paraId="20000000">
      <w:pPr>
        <w:rPr>
          <w:sz w:val="28"/>
        </w:rPr>
      </w:pPr>
      <w:r>
        <w:rPr>
          <w:color w:val="000000"/>
          <w:sz w:val="28"/>
        </w:rPr>
        <w:t xml:space="preserve">Председатель Комитета                      </w:t>
      </w:r>
      <w:r>
        <w:rPr>
          <w:color w:val="000000"/>
          <w:sz w:val="28"/>
        </w:rPr>
        <w:t xml:space="preserve">  </w:t>
      </w:r>
      <w:r>
        <w:rPr>
          <w:color w:val="000000"/>
          <w:sz w:val="28"/>
        </w:rPr>
        <w:t xml:space="preserve">                                          </w:t>
      </w:r>
      <w:r>
        <w:rPr>
          <w:color w:val="000000"/>
          <w:sz w:val="28"/>
        </w:rPr>
        <w:t xml:space="preserve"> В.И. Девяткин</w:t>
      </w:r>
    </w:p>
    <w:p w14:paraId="21000000">
      <w:pPr>
        <w:rPr>
          <w:sz w:val="28"/>
        </w:rPr>
      </w:pPr>
    </w:p>
    <w:p w14:paraId="22000000">
      <w:pPr>
        <w:rPr>
          <w:sz w:val="28"/>
        </w:rPr>
      </w:pPr>
    </w:p>
    <w:p w14:paraId="23000000">
      <w:pPr>
        <w:rPr>
          <w:sz w:val="26"/>
        </w:rPr>
      </w:pPr>
    </w:p>
    <w:p w14:paraId="24000000"/>
    <w:p w14:paraId="25000000"/>
    <w:p w14:paraId="26000000"/>
    <w:p w14:paraId="27000000"/>
    <w:p w14:paraId="28000000"/>
    <w:p w14:paraId="29000000"/>
    <w:p w14:paraId="2A000000"/>
    <w:p w14:paraId="2B000000"/>
    <w:p w14:paraId="2C000000"/>
    <w:p w14:paraId="2D000000"/>
    <w:p w14:paraId="2E000000"/>
    <w:p w14:paraId="2F000000"/>
    <w:p w14:paraId="30000000"/>
    <w:p w14:paraId="31000000"/>
    <w:p w14:paraId="32000000"/>
    <w:p w14:paraId="33000000"/>
    <w:p w14:paraId="34000000"/>
    <w:p w14:paraId="35000000"/>
    <w:p w14:paraId="36000000"/>
    <w:p w14:paraId="37000000"/>
    <w:p w14:paraId="38000000"/>
    <w:p w14:paraId="39000000"/>
    <w:p w14:paraId="3A000000">
      <w:pPr>
        <w:spacing w:after="200" w:line="276" w:lineRule="auto"/>
        <w:ind/>
        <w:rPr>
          <w:sz w:val="28"/>
        </w:rPr>
      </w:pPr>
      <w:r>
        <w:rPr>
          <w:sz w:val="28"/>
        </w:rPr>
        <w:br w:type="page"/>
      </w:r>
    </w:p>
    <w:p w14:paraId="3B000000">
      <w:pPr>
        <w:ind/>
        <w:jc w:val="right"/>
        <w:rPr>
          <w:sz w:val="28"/>
        </w:rPr>
      </w:pPr>
      <w:r>
        <w:rPr>
          <w:sz w:val="28"/>
        </w:rPr>
        <w:t xml:space="preserve">Приложение </w:t>
      </w:r>
      <w:r>
        <w:rPr>
          <w:sz w:val="28"/>
        </w:rPr>
        <w:t>1</w:t>
      </w:r>
      <w:r>
        <w:rPr>
          <w:sz w:val="28"/>
        </w:rPr>
        <w:t xml:space="preserve"> </w:t>
      </w:r>
    </w:p>
    <w:p w14:paraId="3C000000">
      <w:pPr>
        <w:ind/>
        <w:jc w:val="right"/>
        <w:rPr>
          <w:sz w:val="28"/>
        </w:rPr>
      </w:pPr>
      <w:r>
        <w:rPr>
          <w:sz w:val="28"/>
        </w:rPr>
        <w:t xml:space="preserve">к Приказу Комитета по охране объектов </w:t>
      </w:r>
    </w:p>
    <w:p w14:paraId="3D000000">
      <w:pPr>
        <w:ind/>
        <w:jc w:val="right"/>
        <w:rPr>
          <w:sz w:val="28"/>
        </w:rPr>
      </w:pPr>
      <w:r>
        <w:rPr>
          <w:sz w:val="28"/>
        </w:rPr>
        <w:t xml:space="preserve">культурного наследия </w:t>
      </w:r>
    </w:p>
    <w:p w14:paraId="3E000000">
      <w:pPr>
        <w:ind/>
        <w:jc w:val="right"/>
        <w:rPr>
          <w:sz w:val="28"/>
        </w:rPr>
      </w:pPr>
      <w:r>
        <w:rPr>
          <w:sz w:val="28"/>
        </w:rPr>
        <w:t>Чукотского автономного округа</w:t>
      </w:r>
    </w:p>
    <w:p w14:paraId="3F000000">
      <w:pPr>
        <w:ind/>
        <w:jc w:val="right"/>
        <w:rPr>
          <w:sz w:val="28"/>
        </w:rPr>
      </w:pPr>
      <w:r>
        <w:rPr>
          <w:sz w:val="28"/>
        </w:rPr>
        <w:t>«___»_______202</w:t>
      </w:r>
      <w:r>
        <w:rPr>
          <w:sz w:val="28"/>
        </w:rPr>
        <w:t>4</w:t>
      </w:r>
      <w:r>
        <w:rPr>
          <w:sz w:val="28"/>
        </w:rPr>
        <w:t xml:space="preserve"> №02-01/0</w:t>
      </w:r>
      <w:r>
        <w:rPr>
          <w:sz w:val="28"/>
        </w:rPr>
        <w:t>00</w:t>
      </w:r>
    </w:p>
    <w:p w14:paraId="40000000">
      <w:pPr>
        <w:pStyle w:val="Style_4"/>
        <w:spacing w:after="0" w:before="0"/>
        <w:ind/>
        <w:rPr>
          <w:b w:val="1"/>
          <w:color w:val="000000"/>
          <w:sz w:val="28"/>
        </w:rPr>
      </w:pPr>
    </w:p>
    <w:p w14:paraId="41000000">
      <w:pPr>
        <w:pStyle w:val="Style_4"/>
        <w:spacing w:after="0" w:before="0"/>
        <w:ind/>
        <w:jc w:val="center"/>
        <w:rPr>
          <w:b w:val="1"/>
          <w:sz w:val="28"/>
        </w:rPr>
      </w:pPr>
      <w:r>
        <w:rPr>
          <w:b w:val="1"/>
          <w:color w:val="000000"/>
          <w:sz w:val="28"/>
        </w:rPr>
        <w:t>Программа </w:t>
      </w:r>
    </w:p>
    <w:p w14:paraId="42000000">
      <w:pPr>
        <w:pStyle w:val="Style_4"/>
        <w:spacing w:after="0" w:before="0"/>
        <w:ind/>
        <w:jc w:val="center"/>
        <w:rPr>
          <w:b w:val="1"/>
          <w:sz w:val="28"/>
        </w:rPr>
      </w:pPr>
      <w:r>
        <w:rPr>
          <w:b w:val="1"/>
          <w:color w:val="000000"/>
          <w:sz w:val="28"/>
        </w:rPr>
        <w:t xml:space="preserve">профилактики рисков причинения вреда (ущерба) охраняемым законом ценностям при осуществлении </w:t>
      </w:r>
      <w:r>
        <w:rPr>
          <w:b w:val="1"/>
          <w:sz w:val="28"/>
        </w:rPr>
        <w:t xml:space="preserve">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на территории </w:t>
      </w:r>
      <w:r>
        <w:rPr>
          <w:b w:val="1"/>
          <w:sz w:val="28"/>
        </w:rPr>
        <w:t xml:space="preserve">Чукотского автономного округа </w:t>
      </w:r>
      <w:r>
        <w:rPr>
          <w:b w:val="1"/>
          <w:sz w:val="28"/>
        </w:rPr>
        <w:t>на 202</w:t>
      </w:r>
      <w:r>
        <w:rPr>
          <w:b w:val="1"/>
          <w:sz w:val="28"/>
        </w:rPr>
        <w:t>5</w:t>
      </w:r>
      <w:r>
        <w:rPr>
          <w:b w:val="1"/>
          <w:sz w:val="28"/>
        </w:rPr>
        <w:t xml:space="preserve"> год</w:t>
      </w:r>
    </w:p>
    <w:p w14:paraId="43000000">
      <w:pPr>
        <w:rPr>
          <w:sz w:val="28"/>
        </w:rPr>
      </w:pPr>
    </w:p>
    <w:p w14:paraId="44000000">
      <w:pPr>
        <w:pStyle w:val="Style_4"/>
        <w:spacing w:after="0" w:before="0"/>
        <w:ind w:firstLine="709" w:left="0"/>
        <w:jc w:val="both"/>
        <w:rPr>
          <w:sz w:val="28"/>
        </w:rPr>
      </w:pPr>
      <w:r>
        <w:rPr>
          <w:color w:val="000000"/>
          <w:sz w:val="28"/>
        </w:rPr>
        <w:t xml:space="preserve">Настоящая программа профилактики рисков причинения вреда (ущерба) охраняемым законом ценностям при осуществлении </w:t>
      </w:r>
      <w:r>
        <w:rPr>
          <w:sz w:val="28"/>
        </w:rPr>
        <w:t xml:space="preserve">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на территории </w:t>
      </w:r>
      <w:r>
        <w:rPr>
          <w:sz w:val="28"/>
        </w:rPr>
        <w:t xml:space="preserve">Чукотского автономного округа </w:t>
      </w:r>
      <w:r>
        <w:rPr>
          <w:sz w:val="28"/>
        </w:rPr>
        <w:t>на 202</w:t>
      </w:r>
      <w:r>
        <w:rPr>
          <w:sz w:val="28"/>
        </w:rPr>
        <w:t>5</w:t>
      </w:r>
      <w:r>
        <w:rPr>
          <w:sz w:val="28"/>
        </w:rPr>
        <w:t xml:space="preserve"> год</w:t>
      </w:r>
      <w:r>
        <w:rPr>
          <w:color w:val="000000"/>
          <w:sz w:val="28"/>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sz w:val="28"/>
        </w:rPr>
        <w:t xml:space="preserve">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на территории </w:t>
      </w:r>
      <w:r>
        <w:rPr>
          <w:sz w:val="28"/>
        </w:rPr>
        <w:t xml:space="preserve">Чукотского автономного округа </w:t>
      </w:r>
      <w:r>
        <w:rPr>
          <w:color w:val="000000"/>
          <w:sz w:val="28"/>
        </w:rPr>
        <w:t xml:space="preserve">(далее </w:t>
      </w:r>
      <w:r>
        <w:rPr>
          <w:color w:val="000000"/>
          <w:sz w:val="28"/>
        </w:rPr>
        <w:t>-</w:t>
      </w:r>
      <w:r>
        <w:rPr>
          <w:color w:val="000000"/>
          <w:sz w:val="28"/>
        </w:rPr>
        <w:t xml:space="preserve"> федеральный государственный контроль).</w:t>
      </w:r>
    </w:p>
    <w:p w14:paraId="45000000">
      <w:pPr>
        <w:ind w:firstLine="709" w:left="0"/>
        <w:jc w:val="both"/>
        <w:rPr>
          <w:sz w:val="28"/>
        </w:rPr>
      </w:pPr>
      <w:r>
        <w:rPr>
          <w:sz w:val="28"/>
        </w:rPr>
        <w:t>Правовые основания разработки программы:</w:t>
      </w:r>
    </w:p>
    <w:p w14:paraId="46000000">
      <w:pPr>
        <w:ind w:firstLine="709" w:left="0"/>
        <w:jc w:val="both"/>
        <w:rPr>
          <w:sz w:val="28"/>
        </w:rPr>
      </w:pPr>
      <w:r>
        <w:rPr>
          <w:sz w:val="28"/>
        </w:rPr>
        <w:t>-</w:t>
      </w:r>
      <w:r>
        <w:rPr>
          <w:sz w:val="28"/>
        </w:rPr>
        <w:t xml:space="preserve"> Федеральный закон от 25.06.2002 № 73-ФЗ «Об объектах культурного наследия (памятниках истории и культуры) народов Российской Федерации» (далее</w:t>
      </w:r>
      <w:r>
        <w:rPr>
          <w:sz w:val="28"/>
        </w:rPr>
        <w:t xml:space="preserve"> -</w:t>
      </w:r>
      <w:r>
        <w:rPr>
          <w:sz w:val="28"/>
        </w:rPr>
        <w:t xml:space="preserve"> Федеральный закон № 73-ФЗ);</w:t>
      </w:r>
    </w:p>
    <w:p w14:paraId="47000000">
      <w:pPr>
        <w:ind w:firstLine="709" w:left="0"/>
        <w:jc w:val="both"/>
        <w:rPr>
          <w:sz w:val="28"/>
        </w:rPr>
      </w:pPr>
      <w:r>
        <w:rPr>
          <w:sz w:val="28"/>
        </w:rPr>
        <w:t>-</w:t>
      </w:r>
      <w:r>
        <w:rPr>
          <w:sz w:val="28"/>
        </w:rPr>
        <w:t xml:space="preserve"> Федеральный закон от 31.07.2020 № 248-ФЗ «О государственном контроле (надзоре) и муниципальном контроле в Российской Федерации»;</w:t>
      </w:r>
    </w:p>
    <w:p w14:paraId="48000000">
      <w:pPr>
        <w:ind w:firstLine="709" w:left="0"/>
        <w:jc w:val="both"/>
        <w:rPr>
          <w:sz w:val="28"/>
        </w:rPr>
      </w:pPr>
      <w:r>
        <w:rPr>
          <w:sz w:val="28"/>
        </w:rPr>
        <w:t>- Положение о</w:t>
      </w:r>
      <w:r>
        <w:rPr>
          <w:b w:val="1"/>
          <w:sz w:val="28"/>
        </w:rPr>
        <w:t xml:space="preserve"> </w:t>
      </w:r>
      <w:r>
        <w:rPr>
          <w:sz w:val="28"/>
        </w:rPr>
        <w:t>федеральном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утвержденное постановлением Правительства Российской Федерации от 30.06.2021 № 1093 (далее </w:t>
      </w:r>
      <w:r>
        <w:rPr>
          <w:sz w:val="28"/>
        </w:rPr>
        <w:t>-</w:t>
      </w:r>
      <w:r>
        <w:rPr>
          <w:sz w:val="28"/>
        </w:rPr>
        <w:t xml:space="preserve"> Положение о федеральном государственном надзоре);</w:t>
      </w:r>
    </w:p>
    <w:p w14:paraId="49000000">
      <w:pPr>
        <w:ind w:firstLine="709" w:left="0"/>
        <w:jc w:val="both"/>
        <w:rPr>
          <w:sz w:val="28"/>
        </w:rPr>
      </w:pPr>
      <w:r>
        <w:rPr>
          <w:sz w:val="28"/>
        </w:rPr>
        <w:t>-</w:t>
      </w:r>
      <w:r>
        <w:rPr>
          <w:sz w:val="28"/>
        </w:rPr>
        <w:t xml:space="preserve"> </w:t>
      </w:r>
      <w:r>
        <w:rPr>
          <w:sz w:val="28"/>
        </w:rPr>
        <w:t>Закон Чукотского автономного округа от 31.05.2010 № 50-ОЗ «О сохранении, использовании, популяризации и государственной охране объектов культурного наследия (памятников истории и культуры) в Чукотском автономном округе»;</w:t>
      </w:r>
    </w:p>
    <w:p w14:paraId="4A000000">
      <w:pPr>
        <w:ind w:firstLine="709" w:left="0"/>
        <w:jc w:val="both"/>
        <w:rPr>
          <w:sz w:val="28"/>
        </w:rPr>
      </w:pPr>
      <w:r>
        <w:rPr>
          <w:sz w:val="28"/>
        </w:rPr>
        <w:t xml:space="preserve">- </w:t>
      </w:r>
      <w:r>
        <w:rPr>
          <w:sz w:val="28"/>
        </w:rPr>
        <w:t xml:space="preserve">Об утверждении Положения о Комитете по охране объектов культурного наследия Чукотского автономного округ утвержденное </w:t>
      </w:r>
      <w:r>
        <w:rPr>
          <w:sz w:val="28"/>
        </w:rPr>
        <w:t>постановлением Правительства Чукотского автономного округа от 21.12.2018 № 431</w:t>
      </w:r>
      <w:r>
        <w:rPr>
          <w:sz w:val="28"/>
        </w:rPr>
        <w:t>.</w:t>
      </w:r>
    </w:p>
    <w:p w14:paraId="4B000000">
      <w:pPr>
        <w:ind w:firstLine="706" w:left="0"/>
        <w:jc w:val="both"/>
        <w:rPr>
          <w:sz w:val="28"/>
        </w:rPr>
      </w:pPr>
      <w:r>
        <w:rPr>
          <w:sz w:val="28"/>
        </w:rPr>
        <w:t xml:space="preserve">Разработчик программы - </w:t>
      </w:r>
      <w:r>
        <w:rPr>
          <w:sz w:val="28"/>
        </w:rPr>
        <w:t xml:space="preserve">Комитет по охране объектов культурного наследия </w:t>
      </w:r>
      <w:r>
        <w:rPr>
          <w:sz w:val="28"/>
        </w:rPr>
        <w:t xml:space="preserve">Чукотского автономного округа </w:t>
      </w:r>
      <w:r>
        <w:rPr>
          <w:sz w:val="28"/>
        </w:rPr>
        <w:t>(далее – Комитет), исполнительный орган государственной власти</w:t>
      </w:r>
      <w:r>
        <w:rPr>
          <w:sz w:val="28"/>
        </w:rPr>
        <w:t xml:space="preserve"> Чукотского автономного округа</w:t>
      </w:r>
      <w:r>
        <w:rPr>
          <w:sz w:val="28"/>
        </w:rPr>
        <w:t>, уполномоченный на осуществление федерального государственного контроля на территории</w:t>
      </w:r>
      <w:r>
        <w:rPr>
          <w:sz w:val="28"/>
        </w:rPr>
        <w:t xml:space="preserve"> Чукотского автономного округа</w:t>
      </w:r>
      <w:r>
        <w:rPr>
          <w:sz w:val="28"/>
        </w:rPr>
        <w:t xml:space="preserve">. </w:t>
      </w:r>
    </w:p>
    <w:p w14:paraId="4C000000">
      <w:pPr>
        <w:rPr>
          <w:sz w:val="28"/>
        </w:rPr>
      </w:pPr>
    </w:p>
    <w:p w14:paraId="4D000000">
      <w:pPr>
        <w:pStyle w:val="Style_4"/>
        <w:spacing w:after="0" w:before="0"/>
        <w:ind/>
        <w:jc w:val="center"/>
        <w:rPr>
          <w:b w:val="1"/>
          <w:sz w:val="28"/>
        </w:rPr>
      </w:pPr>
      <w:r>
        <w:rPr>
          <w:b w:val="1"/>
          <w:color w:val="000000"/>
          <w:sz w:val="28"/>
        </w:rPr>
        <w:t xml:space="preserve">I. Анализ текущего состояния осуществления федерального государственного контроля, описание текущего развития профилактической деятельности </w:t>
      </w:r>
      <w:r>
        <w:rPr>
          <w:b w:val="1"/>
          <w:color w:val="000000"/>
          <w:sz w:val="28"/>
        </w:rPr>
        <w:t>Комитета по охране объектов культурного наследия</w:t>
      </w:r>
      <w:r>
        <w:rPr>
          <w:b w:val="1"/>
          <w:color w:val="000000"/>
          <w:sz w:val="28"/>
        </w:rPr>
        <w:t xml:space="preserve"> Чукотского автономного округа</w:t>
      </w:r>
      <w:r>
        <w:rPr>
          <w:b w:val="1"/>
          <w:color w:val="000000"/>
          <w:sz w:val="28"/>
        </w:rPr>
        <w:t>, характеристика проблем, на решение которых направлена Программа профилактики</w:t>
      </w:r>
    </w:p>
    <w:p w14:paraId="4E000000">
      <w:pPr>
        <w:rPr>
          <w:rFonts w:ascii="PT Astra Serif" w:hAnsi="PT Astra Serif"/>
          <w:sz w:val="26"/>
        </w:rPr>
      </w:pPr>
    </w:p>
    <w:p w14:paraId="4F000000">
      <w:pPr>
        <w:ind w:firstLine="709" w:left="0"/>
        <w:jc w:val="both"/>
        <w:rPr>
          <w:sz w:val="28"/>
        </w:rPr>
      </w:pPr>
      <w:r>
        <w:rPr>
          <w:sz w:val="28"/>
        </w:rPr>
        <w:t>По состоянию на 01.07.202</w:t>
      </w:r>
      <w:r>
        <w:rPr>
          <w:sz w:val="28"/>
        </w:rPr>
        <w:t>4</w:t>
      </w:r>
      <w:r>
        <w:rPr>
          <w:sz w:val="28"/>
        </w:rPr>
        <w:t xml:space="preserve"> </w:t>
      </w:r>
      <w:r>
        <w:rPr>
          <w:sz w:val="28"/>
        </w:rPr>
        <w:t>г.</w:t>
      </w:r>
      <w:r>
        <w:rPr>
          <w:sz w:val="28"/>
        </w:rPr>
        <w:t xml:space="preserve"> на территории </w:t>
      </w:r>
      <w:r>
        <w:rPr>
          <w:sz w:val="28"/>
        </w:rPr>
        <w:t xml:space="preserve">Чукотского автономного </w:t>
      </w:r>
      <w:r>
        <w:rPr>
          <w:sz w:val="28"/>
        </w:rPr>
        <w:t xml:space="preserve">находится </w:t>
      </w:r>
      <w:r>
        <w:rPr>
          <w:sz w:val="28"/>
        </w:rPr>
        <w:t>67</w:t>
      </w:r>
      <w:r>
        <w:rPr>
          <w:sz w:val="28"/>
        </w:rPr>
        <w:t xml:space="preserve"> объектов культурного наследия федерального значения, из них –</w:t>
      </w:r>
      <w:r>
        <w:rPr>
          <w:sz w:val="28"/>
        </w:rPr>
        <w:t xml:space="preserve">66 </w:t>
      </w:r>
      <w:r>
        <w:rPr>
          <w:sz w:val="28"/>
        </w:rPr>
        <w:t>объекта археологического наследия.</w:t>
      </w:r>
    </w:p>
    <w:p w14:paraId="50000000">
      <w:pPr>
        <w:pStyle w:val="Style_4"/>
        <w:spacing w:after="0" w:before="0"/>
        <w:ind w:firstLine="708" w:left="0"/>
        <w:jc w:val="both"/>
        <w:rPr>
          <w:color w:val="000000"/>
          <w:sz w:val="28"/>
        </w:rPr>
      </w:pPr>
      <w:r>
        <w:rPr>
          <w:color w:val="000000"/>
          <w:sz w:val="28"/>
        </w:rPr>
        <w:t xml:space="preserve">Объектами при осуществлении федерального государственного контроля являются: </w:t>
      </w:r>
    </w:p>
    <w:p w14:paraId="51000000">
      <w:pPr>
        <w:ind w:firstLine="708" w:left="0"/>
        <w:jc w:val="both"/>
        <w:rPr>
          <w:sz w:val="28"/>
        </w:rPr>
      </w:pPr>
      <w:r>
        <w:rPr>
          <w:sz w:val="28"/>
        </w:rPr>
        <w:t>а) деятельность, действия (бездействие) контролируемых лиц по содержанию, сохранению, использованию, популяризации и государственной охране объектов культурного наследия федерального значени</w:t>
      </w:r>
      <w:r>
        <w:rPr>
          <w:sz w:val="28"/>
        </w:rPr>
        <w:t>я, расположенных на территории Чукотского автономного округа</w:t>
      </w:r>
      <w:r>
        <w:rPr>
          <w:sz w:val="28"/>
        </w:rPr>
        <w:t>;</w:t>
      </w:r>
    </w:p>
    <w:p w14:paraId="52000000">
      <w:pPr>
        <w:ind w:firstLine="708" w:left="0"/>
        <w:jc w:val="both"/>
        <w:rPr>
          <w:sz w:val="28"/>
        </w:rPr>
      </w:pPr>
      <w:r>
        <w:rPr>
          <w:sz w:val="28"/>
        </w:rPr>
        <w:t>б) объекты культурного наследия федерального значения, расположенные на территории</w:t>
      </w:r>
      <w:r>
        <w:rPr>
          <w:sz w:val="28"/>
        </w:rPr>
        <w:t xml:space="preserve"> Чукотского автономного округа</w:t>
      </w:r>
      <w:r>
        <w:rPr>
          <w:sz w:val="28"/>
        </w:rPr>
        <w:t>.</w:t>
      </w:r>
    </w:p>
    <w:p w14:paraId="53000000">
      <w:pPr>
        <w:pStyle w:val="Style_4"/>
        <w:spacing w:after="0" w:before="0"/>
        <w:ind w:firstLine="708" w:left="0"/>
        <w:jc w:val="both"/>
        <w:rPr>
          <w:sz w:val="28"/>
        </w:rPr>
      </w:pPr>
      <w:r>
        <w:rPr>
          <w:color w:val="000000"/>
          <w:sz w:val="28"/>
        </w:rPr>
        <w:t xml:space="preserve">Контролируемыми лицами при осуществлении государственного контроля являются </w:t>
      </w:r>
      <w:r>
        <w:rPr>
          <w:sz w:val="28"/>
        </w:rPr>
        <w:t>юридические лица, индивидуальные предприниматели и граждане, являющиеся собственниками, пользователями объектов культурного наследия федерального значения, земельных участков, в границах которых расположены территории объектов культурного наследия федерального значения, осуществляющих свою деятельность в границах зон охраны объектов культурного наследия федерального значения, защитных зон объектов культурного наследия федерального значения.</w:t>
      </w:r>
    </w:p>
    <w:p w14:paraId="54000000">
      <w:pPr>
        <w:ind w:firstLine="709" w:left="0"/>
        <w:jc w:val="both"/>
        <w:rPr>
          <w:sz w:val="28"/>
        </w:rPr>
      </w:pPr>
      <w:r>
        <w:rPr>
          <w:sz w:val="28"/>
        </w:rPr>
        <w:t xml:space="preserve">В соответствии со ст. 48 Федерального закона № 73-ФЗ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 </w:t>
      </w:r>
    </w:p>
    <w:p w14:paraId="55000000">
      <w:pPr>
        <w:ind w:firstLine="709" w:left="0"/>
        <w:jc w:val="both"/>
        <w:rPr>
          <w:sz w:val="28"/>
        </w:rPr>
      </w:pPr>
      <w:r>
        <w:rPr>
          <w:sz w:val="28"/>
        </w:rPr>
        <w:t>Распоряжение объектом культурного наследия,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Федерального закона № 73-ФЗ.</w:t>
      </w:r>
    </w:p>
    <w:p w14:paraId="56000000">
      <w:pPr>
        <w:ind w:firstLine="709" w:left="0"/>
        <w:jc w:val="both"/>
        <w:rPr>
          <w:sz w:val="28"/>
        </w:rPr>
      </w:pPr>
      <w:r>
        <w:rPr>
          <w:sz w:val="28"/>
        </w:rPr>
        <w:t>При этом</w:t>
      </w:r>
      <w:r>
        <w:rPr>
          <w:sz w:val="28"/>
        </w:rPr>
        <w:t xml:space="preserve"> </w:t>
      </w:r>
      <w:r>
        <w:rPr>
          <w:sz w:val="28"/>
        </w:rPr>
        <w:t xml:space="preserve">Федеральным законом № 73-ФЗ не установлена обязанность по извещению регионального органа охраны о государственной регистрации права на объект культурного наследия, земельный участок в границах территории объекта культурного наследия. </w:t>
      </w:r>
    </w:p>
    <w:p w14:paraId="57000000">
      <w:pPr>
        <w:ind w:firstLine="709" w:left="0"/>
        <w:jc w:val="both"/>
        <w:rPr>
          <w:sz w:val="28"/>
        </w:rPr>
      </w:pPr>
      <w:r>
        <w:rPr>
          <w:sz w:val="28"/>
        </w:rPr>
        <w:t xml:space="preserve">С учетом указанных обстоятельств, при осуществлении федерального государственного надзора не представляется возможным определить точный перечень подконтрольных субъектов и вести их учет в режиме реального времени. </w:t>
      </w:r>
    </w:p>
    <w:p w14:paraId="58000000">
      <w:pPr>
        <w:ind w:firstLine="709" w:left="0"/>
        <w:jc w:val="both"/>
        <w:rPr>
          <w:sz w:val="28"/>
        </w:rPr>
      </w:pPr>
      <w:r>
        <w:rPr>
          <w:sz w:val="28"/>
        </w:rPr>
        <w:t>Данные обстоятельства также затрудняют эффективность профилактической работы и информирования подконтрольных субъектов.</w:t>
      </w:r>
    </w:p>
    <w:p w14:paraId="59000000">
      <w:pPr>
        <w:ind w:firstLine="709" w:left="0"/>
        <w:jc w:val="both"/>
        <w:rPr>
          <w:sz w:val="28"/>
        </w:rPr>
      </w:pPr>
      <w:r>
        <w:rPr>
          <w:sz w:val="28"/>
        </w:rPr>
        <w:t>По результатам осуществления федерального государственного контроля за </w:t>
      </w:r>
      <w:r>
        <w:rPr>
          <w:sz w:val="28"/>
        </w:rPr>
        <w:t>20</w:t>
      </w:r>
      <w:r>
        <w:rPr>
          <w:sz w:val="28"/>
        </w:rPr>
        <w:t>21</w:t>
      </w:r>
      <w:r>
        <w:rPr>
          <w:sz w:val="28"/>
        </w:rPr>
        <w:t>-202</w:t>
      </w:r>
      <w:r>
        <w:rPr>
          <w:sz w:val="28"/>
        </w:rPr>
        <w:t>3</w:t>
      </w:r>
      <w:r>
        <w:rPr>
          <w:sz w:val="28"/>
        </w:rPr>
        <w:t xml:space="preserve"> года Комитетом установлены следующие характерные нарушения обязательных требований в области охраны объектов культурного наследия:</w:t>
      </w:r>
    </w:p>
    <w:p w14:paraId="5A000000">
      <w:pPr>
        <w:ind w:firstLine="709" w:left="0"/>
        <w:jc w:val="both"/>
        <w:rPr>
          <w:sz w:val="28"/>
        </w:rPr>
      </w:pPr>
      <w:r>
        <w:rPr>
          <w:sz w:val="28"/>
        </w:rPr>
        <w:t xml:space="preserve">1) Ограничения (обременения) права, установленные Федеральным законом № 73-ФЗ, правообладателем объекта не выполняются: </w:t>
      </w:r>
    </w:p>
    <w:p w14:paraId="5B000000">
      <w:pPr>
        <w:ind w:firstLine="709" w:left="0"/>
        <w:jc w:val="both"/>
        <w:rPr>
          <w:sz w:val="28"/>
        </w:rPr>
      </w:pPr>
      <w:r>
        <w:rPr>
          <w:sz w:val="28"/>
        </w:rPr>
        <w:t>- объект не поддерживается в надлежащем техническом, санитарном состоянии, работы по сохранению объекта культурного наследия не осуществляются;</w:t>
      </w:r>
    </w:p>
    <w:p w14:paraId="5C000000">
      <w:pPr>
        <w:ind w:firstLine="709" w:left="0"/>
        <w:jc w:val="both"/>
        <w:rPr>
          <w:sz w:val="28"/>
        </w:rPr>
      </w:pPr>
      <w:r>
        <w:rPr>
          <w:sz w:val="28"/>
        </w:rPr>
        <w:t>- территория объекта культурного наследия не поддерживается в благоустроенном состоянии.</w:t>
      </w:r>
    </w:p>
    <w:p w14:paraId="5D000000">
      <w:pPr>
        <w:ind w:firstLine="709" w:left="0"/>
        <w:jc w:val="both"/>
        <w:rPr>
          <w:sz w:val="28"/>
        </w:rPr>
      </w:pPr>
      <w:r>
        <w:rPr>
          <w:sz w:val="28"/>
        </w:rPr>
        <w:t>2) Ограничения (обременения) права, установленные в соответствии с охранным обязательством, правообладателем объекта не выполняется:</w:t>
      </w:r>
    </w:p>
    <w:p w14:paraId="5E000000">
      <w:pPr>
        <w:ind w:firstLine="709" w:left="0"/>
        <w:jc w:val="both"/>
        <w:rPr>
          <w:sz w:val="28"/>
        </w:rPr>
      </w:pPr>
      <w:r>
        <w:rPr>
          <w:sz w:val="28"/>
        </w:rPr>
        <w:t>- не осуществляются работы по сохранению объекта культурного наследия.</w:t>
      </w:r>
    </w:p>
    <w:p w14:paraId="5F000000">
      <w:pPr>
        <w:ind w:firstLine="709" w:left="0"/>
        <w:jc w:val="both"/>
        <w:rPr>
          <w:sz w:val="28"/>
        </w:rPr>
      </w:pPr>
      <w:r>
        <w:rPr>
          <w:sz w:val="28"/>
        </w:rPr>
        <w:t>3</w:t>
      </w:r>
      <w:r>
        <w:rPr>
          <w:sz w:val="28"/>
        </w:rPr>
        <w:t>)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в отсутствие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органом охраны объектов культурного наследия.</w:t>
      </w:r>
    </w:p>
    <w:p w14:paraId="60000000">
      <w:pPr>
        <w:ind w:firstLine="709" w:left="0"/>
        <w:jc w:val="both"/>
        <w:rPr>
          <w:sz w:val="28"/>
        </w:rPr>
      </w:pPr>
      <w:r>
        <w:rPr>
          <w:sz w:val="28"/>
        </w:rPr>
        <w:t>Анализ причин нарушений обязательных требований, условий, способствующих нарушений обязательных требований показывает следующее:</w:t>
      </w:r>
    </w:p>
    <w:p w14:paraId="61000000">
      <w:pPr>
        <w:ind w:firstLine="709" w:left="0"/>
        <w:jc w:val="both"/>
        <w:rPr>
          <w:sz w:val="28"/>
        </w:rPr>
      </w:pPr>
      <w:r>
        <w:rPr>
          <w:sz w:val="28"/>
        </w:rPr>
        <w:t xml:space="preserve">- подконтрольные субъекты не знают и (или) неверно понимают требования законодательства в области охраны объектов культурного наследия; </w:t>
      </w:r>
    </w:p>
    <w:p w14:paraId="62000000">
      <w:pPr>
        <w:ind w:firstLine="709" w:left="0"/>
        <w:jc w:val="both"/>
        <w:rPr>
          <w:sz w:val="28"/>
        </w:rPr>
      </w:pPr>
      <w:r>
        <w:rPr>
          <w:sz w:val="28"/>
        </w:rPr>
        <w:t xml:space="preserve">- подконтрольные субъекты не знают и (или) неверно понимают ограничения (обременения) права, установленные Федеральным законом № 73-ФЗ. </w:t>
      </w:r>
    </w:p>
    <w:p w14:paraId="63000000">
      <w:pPr>
        <w:ind w:firstLine="706" w:left="0"/>
        <w:jc w:val="both"/>
        <w:rPr>
          <w:sz w:val="28"/>
        </w:rPr>
      </w:pPr>
      <w:r>
        <w:rPr>
          <w:sz w:val="28"/>
        </w:rPr>
        <w:t xml:space="preserve">К сведениям об объектах надзора в целях настоящей программы профилактики относятся: </w:t>
      </w:r>
    </w:p>
    <w:p w14:paraId="64000000">
      <w:pPr>
        <w:ind w:firstLine="706" w:left="0"/>
        <w:jc w:val="both"/>
        <w:rPr>
          <w:sz w:val="28"/>
        </w:rPr>
      </w:pPr>
      <w:r>
        <w:rPr>
          <w:sz w:val="28"/>
        </w:rPr>
        <w:t>- перечень объектов культурного наследия федеральног</w:t>
      </w:r>
      <w:r>
        <w:rPr>
          <w:sz w:val="28"/>
        </w:rPr>
        <w:t>о, расположенных на территории Чукотского автономного округа</w:t>
      </w:r>
      <w:r>
        <w:rPr>
          <w:sz w:val="28"/>
        </w:rPr>
        <w:t xml:space="preserve">; </w:t>
      </w:r>
    </w:p>
    <w:p w14:paraId="65000000">
      <w:pPr>
        <w:ind w:firstLine="706" w:left="0"/>
        <w:jc w:val="both"/>
        <w:rPr>
          <w:sz w:val="28"/>
        </w:rPr>
      </w:pPr>
      <w:r>
        <w:rPr>
          <w:sz w:val="28"/>
        </w:rPr>
        <w:t xml:space="preserve">- сведения о границах территории объектов культурного наследия федерального значения; </w:t>
      </w:r>
    </w:p>
    <w:p w14:paraId="66000000">
      <w:pPr>
        <w:ind w:firstLine="706" w:left="0"/>
        <w:jc w:val="both"/>
        <w:rPr>
          <w:sz w:val="28"/>
        </w:rPr>
      </w:pPr>
      <w:r>
        <w:rPr>
          <w:sz w:val="28"/>
        </w:rPr>
        <w:t xml:space="preserve">- сведения о границах зон охраны объектов культурного наследия федерального значения; </w:t>
      </w:r>
    </w:p>
    <w:p w14:paraId="67000000">
      <w:pPr>
        <w:ind w:firstLine="706" w:left="0"/>
        <w:jc w:val="both"/>
        <w:rPr>
          <w:sz w:val="28"/>
        </w:rPr>
      </w:pPr>
      <w:r>
        <w:rPr>
          <w:sz w:val="28"/>
        </w:rPr>
        <w:t xml:space="preserve">- сведения о предмете охраны объектов культурного наследия федерального значения; </w:t>
      </w:r>
    </w:p>
    <w:p w14:paraId="68000000">
      <w:pPr>
        <w:ind w:firstLine="706" w:left="0"/>
        <w:jc w:val="both"/>
        <w:rPr>
          <w:sz w:val="28"/>
        </w:rPr>
      </w:pPr>
      <w:r>
        <w:rPr>
          <w:sz w:val="28"/>
        </w:rPr>
        <w:t xml:space="preserve">- сведения об утвержденных охранных обязательствах собственника или иного законного владельца объекта культурного наследия федерального значения. </w:t>
      </w:r>
    </w:p>
    <w:p w14:paraId="69000000">
      <w:pPr>
        <w:ind w:firstLine="706" w:left="0"/>
        <w:jc w:val="both"/>
        <w:rPr>
          <w:sz w:val="28"/>
        </w:rPr>
      </w:pPr>
      <w:r>
        <w:rPr>
          <w:sz w:val="28"/>
        </w:rPr>
        <w:t xml:space="preserve">В настоящее время на сайте Комитета и на официальном интернет – портале правовой информации - </w:t>
      </w:r>
      <w:r>
        <w:rPr>
          <w:rStyle w:val="Style_5_ch"/>
          <w:sz w:val="28"/>
        </w:rPr>
        <w:fldChar w:fldCharType="begin"/>
      </w:r>
      <w:r>
        <w:rPr>
          <w:rStyle w:val="Style_5_ch"/>
          <w:sz w:val="28"/>
        </w:rPr>
        <w:instrText>HYPERLINK "http://www.pravo.gov.ru"</w:instrText>
      </w:r>
      <w:r>
        <w:rPr>
          <w:rStyle w:val="Style_5_ch"/>
          <w:sz w:val="28"/>
        </w:rPr>
        <w:fldChar w:fldCharType="separate"/>
      </w:r>
      <w:r>
        <w:rPr>
          <w:rStyle w:val="Style_5_ch"/>
          <w:sz w:val="28"/>
        </w:rPr>
        <w:t>www.pravo.gov.ru</w:t>
      </w:r>
      <w:r>
        <w:rPr>
          <w:rStyle w:val="Style_5_ch"/>
          <w:sz w:val="28"/>
        </w:rPr>
        <w:fldChar w:fldCharType="end"/>
      </w:r>
      <w:r>
        <w:rPr>
          <w:sz w:val="28"/>
        </w:rPr>
        <w:t xml:space="preserve">, 100 % размещение сведений обеспечено в отношении следующих сведений: </w:t>
      </w:r>
    </w:p>
    <w:p w14:paraId="6A000000">
      <w:pPr>
        <w:ind w:firstLine="706" w:left="0"/>
        <w:jc w:val="both"/>
        <w:rPr>
          <w:sz w:val="28"/>
        </w:rPr>
      </w:pPr>
      <w:r>
        <w:rPr>
          <w:sz w:val="28"/>
        </w:rPr>
        <w:t xml:space="preserve">- сведения о границах </w:t>
      </w:r>
      <w:r>
        <w:rPr>
          <w:sz w:val="28"/>
        </w:rPr>
        <w:t xml:space="preserve">территорий </w:t>
      </w:r>
      <w:r>
        <w:rPr>
          <w:sz w:val="28"/>
        </w:rPr>
        <w:t>охраны объектов культурного наследия федерального значения</w:t>
      </w:r>
      <w:r>
        <w:rPr>
          <w:sz w:val="28"/>
        </w:rPr>
        <w:t xml:space="preserve"> (данные об археологических объектах закрыты)</w:t>
      </w:r>
      <w:r>
        <w:rPr>
          <w:sz w:val="28"/>
        </w:rPr>
        <w:t xml:space="preserve">; </w:t>
      </w:r>
    </w:p>
    <w:p w14:paraId="6B000000">
      <w:pPr>
        <w:ind w:firstLine="706" w:left="0"/>
        <w:jc w:val="both"/>
        <w:rPr>
          <w:sz w:val="28"/>
        </w:rPr>
      </w:pPr>
      <w:r>
        <w:rPr>
          <w:sz w:val="28"/>
        </w:rPr>
        <w:t>В 202</w:t>
      </w:r>
      <w:r>
        <w:rPr>
          <w:sz w:val="28"/>
        </w:rPr>
        <w:t>5</w:t>
      </w:r>
      <w:r>
        <w:rPr>
          <w:sz w:val="28"/>
        </w:rPr>
        <w:t xml:space="preserve"> – 202</w:t>
      </w:r>
      <w:r>
        <w:rPr>
          <w:sz w:val="28"/>
        </w:rPr>
        <w:t>6</w:t>
      </w:r>
      <w:r>
        <w:rPr>
          <w:sz w:val="28"/>
        </w:rPr>
        <w:t xml:space="preserve"> годах планируется обеспечение 100 % доступности в отношении остальных сведений об объектах надзора. </w:t>
      </w:r>
    </w:p>
    <w:p w14:paraId="6C000000">
      <w:pPr>
        <w:ind w:firstLine="706" w:left="0"/>
        <w:jc w:val="both"/>
        <w:rPr>
          <w:sz w:val="28"/>
        </w:rPr>
      </w:pPr>
      <w:r>
        <w:rPr>
          <w:sz w:val="28"/>
        </w:rPr>
        <w:t>Особенностью осуществления федерального государственного надзора на территории</w:t>
      </w:r>
      <w:r>
        <w:rPr>
          <w:sz w:val="28"/>
        </w:rPr>
        <w:t xml:space="preserve"> Чукотского автономного округа </w:t>
      </w:r>
      <w:r>
        <w:rPr>
          <w:sz w:val="28"/>
        </w:rPr>
        <w:t>является удаленность р</w:t>
      </w:r>
      <w:r>
        <w:rPr>
          <w:sz w:val="28"/>
        </w:rPr>
        <w:t xml:space="preserve">асположения объектов надзора от населённых пунктов </w:t>
      </w:r>
      <w:r>
        <w:rPr>
          <w:sz w:val="28"/>
        </w:rPr>
        <w:t>и их труднодоступность</w:t>
      </w:r>
      <w:r>
        <w:rPr>
          <w:sz w:val="28"/>
        </w:rPr>
        <w:t xml:space="preserve"> в связи с нахождением территорий в районах Крайнего Севера</w:t>
      </w:r>
      <w:r>
        <w:rPr>
          <w:sz w:val="28"/>
        </w:rPr>
        <w:t xml:space="preserve"> (в отношении некоторых объектов доступность является сезонной</w:t>
      </w:r>
      <w:r>
        <w:rPr>
          <w:sz w:val="28"/>
        </w:rPr>
        <w:t xml:space="preserve"> и доступность к объекту зависит от погодных условий</w:t>
      </w:r>
      <w:r>
        <w:rPr>
          <w:sz w:val="28"/>
        </w:rPr>
        <w:t xml:space="preserve">). </w:t>
      </w:r>
    </w:p>
    <w:p w14:paraId="6D000000">
      <w:pPr>
        <w:rPr>
          <w:sz w:val="28"/>
        </w:rPr>
      </w:pPr>
    </w:p>
    <w:p w14:paraId="6E000000">
      <w:pPr>
        <w:pStyle w:val="Style_4"/>
        <w:spacing w:after="0" w:before="0"/>
        <w:ind w:firstLine="709" w:left="0"/>
        <w:jc w:val="center"/>
        <w:rPr>
          <w:sz w:val="28"/>
        </w:rPr>
      </w:pPr>
      <w:r>
        <w:rPr>
          <w:b w:val="1"/>
          <w:color w:val="000000"/>
          <w:sz w:val="28"/>
        </w:rPr>
        <w:t>II. Цели и задачи реализации Программы профилактики</w:t>
      </w:r>
    </w:p>
    <w:p w14:paraId="6F000000">
      <w:pPr>
        <w:rPr>
          <w:rFonts w:ascii="PT Astra Serif" w:hAnsi="PT Astra Serif"/>
          <w:sz w:val="28"/>
        </w:rPr>
      </w:pPr>
    </w:p>
    <w:p w14:paraId="70000000">
      <w:pPr>
        <w:ind w:firstLine="709" w:left="0"/>
        <w:jc w:val="both"/>
        <w:rPr>
          <w:sz w:val="28"/>
        </w:rPr>
      </w:pPr>
      <w:r>
        <w:rPr>
          <w:sz w:val="28"/>
        </w:rPr>
        <w:t xml:space="preserve">1. </w:t>
      </w:r>
      <w:r>
        <w:rPr>
          <w:sz w:val="28"/>
        </w:rPr>
        <w:t>Профилактическая работа в Комитете представляет собой системно организованную деятельность по комплексной реализации мер организационного, информационного, правового и иного характера, направленных на достижение следующих основных целей</w:t>
      </w:r>
      <w:r>
        <w:rPr>
          <w:sz w:val="28"/>
        </w:rPr>
        <w:t>:</w:t>
      </w:r>
    </w:p>
    <w:p w14:paraId="71000000">
      <w:pPr>
        <w:ind w:firstLine="709" w:left="0"/>
        <w:jc w:val="both"/>
        <w:rPr>
          <w:sz w:val="28"/>
        </w:rPr>
      </w:pPr>
      <w:r>
        <w:rPr>
          <w:sz w:val="28"/>
        </w:rPr>
        <w:t>-</w:t>
      </w:r>
      <w:r>
        <w:rPr>
          <w:sz w:val="28"/>
        </w:rPr>
        <w:t xml:space="preserve"> предотвращение причинения вреда либо угрозы причинения вреда объектам культурного наследия федерального, расположенных на территории </w:t>
      </w:r>
      <w:r>
        <w:rPr>
          <w:sz w:val="28"/>
        </w:rPr>
        <w:t xml:space="preserve">Чукотского автономного округа </w:t>
      </w:r>
      <w:r>
        <w:rPr>
          <w:sz w:val="28"/>
        </w:rPr>
        <w:t>вследствие нарушений обязательных требований в области охраны объектов культурного наследия (далее – обязательные требования) (снижение количества случав причинения вреда либо угрозы причинения вреда объектам культурного наследия (памятникам истории и куль</w:t>
      </w:r>
      <w:r>
        <w:rPr>
          <w:sz w:val="28"/>
        </w:rPr>
        <w:t>туры) федерального значения);</w:t>
      </w:r>
    </w:p>
    <w:p w14:paraId="72000000">
      <w:pPr>
        <w:ind w:firstLine="709" w:left="0"/>
        <w:jc w:val="both"/>
        <w:rPr>
          <w:sz w:val="28"/>
        </w:rPr>
      </w:pPr>
      <w:r>
        <w:rPr>
          <w:sz w:val="28"/>
        </w:rPr>
        <w:t>-</w:t>
      </w:r>
      <w:r>
        <w:rPr>
          <w:sz w:val="28"/>
        </w:rPr>
        <w:t xml:space="preserve"> </w:t>
      </w:r>
      <w:r>
        <w:rPr>
          <w:sz w:val="28"/>
        </w:rPr>
        <w:t xml:space="preserve">предупреждение нарушений подконтрольными субъектами обязательных требований (снижение количества случав нарушений обязательных требований); </w:t>
      </w:r>
    </w:p>
    <w:p w14:paraId="73000000">
      <w:pPr>
        <w:pStyle w:val="Style_4"/>
        <w:spacing w:after="0" w:before="0"/>
        <w:ind w:firstLine="567" w:left="0"/>
        <w:jc w:val="both"/>
        <w:rPr>
          <w:sz w:val="28"/>
        </w:rPr>
      </w:pPr>
      <w:r>
        <w:rPr>
          <w:color w:val="000000"/>
          <w:sz w:val="28"/>
        </w:rPr>
        <w:t>-</w:t>
      </w:r>
      <w:r>
        <w:rPr>
          <w:color w:val="000000"/>
          <w:sz w:val="28"/>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74000000">
      <w:pPr>
        <w:ind w:firstLine="709" w:left="0"/>
        <w:jc w:val="both"/>
        <w:rPr>
          <w:sz w:val="28"/>
        </w:rPr>
      </w:pPr>
      <w:r>
        <w:rPr>
          <w:sz w:val="28"/>
        </w:rPr>
        <w:t>-</w:t>
      </w:r>
      <w:r>
        <w:rPr>
          <w:sz w:val="28"/>
        </w:rPr>
        <w:t xml:space="preserve"> создание системы профилактики органа охраны объектов культурного наследия причинения вреда либо угрозы причинения вреда объектам культурного наследия федерального значения, расположенным на территории</w:t>
      </w:r>
      <w:r>
        <w:rPr>
          <w:sz w:val="28"/>
        </w:rPr>
        <w:t xml:space="preserve"> Чукотского автономного округа</w:t>
      </w:r>
      <w:r>
        <w:rPr>
          <w:sz w:val="28"/>
        </w:rPr>
        <w:t>, нарушений обязательных требований;</w:t>
      </w:r>
    </w:p>
    <w:p w14:paraId="75000000">
      <w:pPr>
        <w:pStyle w:val="Style_4"/>
        <w:spacing w:after="0" w:before="0"/>
        <w:ind w:firstLine="567" w:left="0"/>
        <w:jc w:val="both"/>
        <w:rPr>
          <w:sz w:val="28"/>
        </w:rPr>
      </w:pPr>
      <w:r>
        <w:rPr>
          <w:color w:val="000000"/>
          <w:sz w:val="28"/>
        </w:rPr>
        <w:t>-</w:t>
      </w:r>
      <w:r>
        <w:rPr>
          <w:color w:val="000000"/>
          <w:sz w:val="28"/>
        </w:rPr>
        <w:t xml:space="preserve"> формирование моделей социально ответственного, добросовестного, правового поведения контролируемых лиц;</w:t>
      </w:r>
    </w:p>
    <w:p w14:paraId="76000000">
      <w:pPr>
        <w:pStyle w:val="Style_4"/>
        <w:spacing w:after="0" w:before="0"/>
        <w:ind w:firstLine="567" w:left="0"/>
        <w:jc w:val="both"/>
        <w:rPr>
          <w:sz w:val="28"/>
        </w:rPr>
      </w:pPr>
      <w:r>
        <w:rPr>
          <w:color w:val="000000"/>
          <w:sz w:val="28"/>
        </w:rPr>
        <w:t>-</w:t>
      </w:r>
      <w:r>
        <w:rPr>
          <w:color w:val="000000"/>
          <w:sz w:val="28"/>
        </w:rPr>
        <w:t xml:space="preserve"> повышение прозрачности системы контрольно-надзорной деятельности.</w:t>
      </w:r>
    </w:p>
    <w:p w14:paraId="77000000">
      <w:pPr>
        <w:ind w:firstLine="709" w:left="0"/>
        <w:jc w:val="both"/>
        <w:rPr>
          <w:sz w:val="28"/>
        </w:rPr>
      </w:pPr>
      <w:r>
        <w:rPr>
          <w:sz w:val="28"/>
        </w:rPr>
        <w:t>2. Задачи программы:</w:t>
      </w:r>
    </w:p>
    <w:p w14:paraId="78000000">
      <w:pPr>
        <w:pStyle w:val="Style_4"/>
        <w:spacing w:after="0" w:before="0"/>
        <w:ind w:firstLine="567" w:left="0"/>
        <w:jc w:val="both"/>
        <w:rPr>
          <w:sz w:val="28"/>
        </w:rPr>
      </w:pPr>
      <w:r>
        <w:rPr>
          <w:color w:val="000000"/>
          <w:sz w:val="28"/>
        </w:rPr>
        <w:t>- оценка возможной угрозы причинения, либо причинения вреда (ущерба) объектам культурного наследия федерального значения, выработка и реализация профилактических мер, способствующих ее снижению;</w:t>
      </w:r>
    </w:p>
    <w:p w14:paraId="79000000">
      <w:pPr>
        <w:pStyle w:val="Style_4"/>
        <w:spacing w:after="0" w:before="0"/>
        <w:ind w:firstLine="567" w:left="0"/>
        <w:jc w:val="both"/>
        <w:rPr>
          <w:sz w:val="28"/>
        </w:rPr>
      </w:pPr>
      <w:r>
        <w:rPr>
          <w:color w:val="000000"/>
          <w:sz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7A000000">
      <w:pPr>
        <w:pStyle w:val="Style_4"/>
        <w:spacing w:after="0" w:before="0"/>
        <w:ind w:firstLine="567" w:left="0"/>
        <w:jc w:val="both"/>
        <w:rPr>
          <w:sz w:val="28"/>
        </w:rPr>
      </w:pPr>
      <w:r>
        <w:rPr>
          <w:color w:val="000000"/>
          <w:sz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7B000000">
      <w:pPr>
        <w:pStyle w:val="Style_4"/>
        <w:spacing w:after="0" w:before="0"/>
        <w:ind w:firstLine="567" w:left="0"/>
        <w:jc w:val="both"/>
        <w:rPr>
          <w:sz w:val="28"/>
        </w:rPr>
      </w:pPr>
      <w:r>
        <w:rPr>
          <w:color w:val="000000"/>
          <w:sz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7C000000">
      <w:pPr>
        <w:pStyle w:val="Style_4"/>
        <w:spacing w:after="0" w:before="0"/>
        <w:ind w:firstLine="567" w:left="0"/>
        <w:jc w:val="both"/>
        <w:rPr>
          <w:sz w:val="28"/>
        </w:rPr>
      </w:pPr>
      <w:r>
        <w:rPr>
          <w:color w:val="000000"/>
          <w:sz w:val="28"/>
        </w:rPr>
        <w:t>- регулярн</w:t>
      </w:r>
      <w:r>
        <w:rPr>
          <w:color w:val="000000"/>
          <w:sz w:val="28"/>
        </w:rPr>
        <w:t>ый</w:t>
      </w:r>
      <w:r>
        <w:rPr>
          <w:color w:val="000000"/>
          <w:sz w:val="28"/>
        </w:rPr>
        <w:t xml:space="preserve"> </w:t>
      </w:r>
      <w:r>
        <w:rPr>
          <w:color w:val="000000"/>
          <w:sz w:val="28"/>
        </w:rPr>
        <w:t>контроль</w:t>
      </w:r>
      <w:r>
        <w:rPr>
          <w:color w:val="000000"/>
          <w:sz w:val="28"/>
        </w:rPr>
        <w:t xml:space="preserve">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7D000000">
      <w:pPr>
        <w:pStyle w:val="Style_4"/>
        <w:spacing w:after="0" w:before="0"/>
        <w:ind w:firstLine="567" w:left="0"/>
        <w:jc w:val="both"/>
        <w:rPr>
          <w:sz w:val="28"/>
        </w:rPr>
      </w:pPr>
      <w:r>
        <w:rPr>
          <w:color w:val="000000"/>
          <w:sz w:val="28"/>
        </w:rPr>
        <w:t>- формирование единого понимания обязательных требований у всех участников контрольно-надзорной деятельности;</w:t>
      </w:r>
    </w:p>
    <w:p w14:paraId="7E000000">
      <w:pPr>
        <w:pStyle w:val="Style_4"/>
        <w:spacing w:after="0" w:before="0"/>
        <w:ind w:firstLine="567" w:left="0"/>
        <w:jc w:val="both"/>
        <w:rPr>
          <w:sz w:val="28"/>
        </w:rPr>
      </w:pPr>
      <w:r>
        <w:rPr>
          <w:color w:val="000000"/>
          <w:sz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F000000">
      <w:pPr>
        <w:pStyle w:val="Style_4"/>
        <w:spacing w:after="0" w:before="0"/>
        <w:ind w:firstLine="567" w:left="0"/>
        <w:jc w:val="both"/>
        <w:rPr>
          <w:sz w:val="28"/>
        </w:rPr>
      </w:pPr>
      <w:r>
        <w:rPr>
          <w:color w:val="000000"/>
          <w:sz w:val="28"/>
        </w:rPr>
        <w:t>-</w:t>
      </w:r>
      <w:r>
        <w:rPr>
          <w:color w:val="000000"/>
          <w:sz w:val="28"/>
        </w:rPr>
        <w:t xml:space="preserve"> </w:t>
      </w:r>
      <w:r>
        <w:rPr>
          <w:color w:val="000000"/>
          <w:sz w:val="28"/>
        </w:rPr>
        <w:t>снижение издержек контрольно-надзорной деятельности и административной нагрузки на контролируемых лиц.</w:t>
      </w:r>
    </w:p>
    <w:p w14:paraId="80000000">
      <w:pPr>
        <w:ind w:firstLine="709" w:left="0"/>
        <w:jc w:val="both"/>
        <w:rPr>
          <w:sz w:val="28"/>
        </w:rPr>
      </w:pPr>
      <w:r>
        <w:rPr>
          <w:sz w:val="28"/>
        </w:rPr>
        <w:t>Ожидаемые конечные результаты реализации программы:</w:t>
      </w:r>
    </w:p>
    <w:p w14:paraId="81000000">
      <w:pPr>
        <w:ind w:firstLine="709" w:left="0"/>
        <w:jc w:val="both"/>
        <w:rPr>
          <w:sz w:val="28"/>
        </w:rPr>
      </w:pPr>
      <w:r>
        <w:rPr>
          <w:sz w:val="28"/>
        </w:rPr>
        <w:t xml:space="preserve">- снижение количества фактов причинения вреда либо угрозы причинения вреда объектам культурного наследия федерального значения, расположенным на территории </w:t>
      </w:r>
      <w:r>
        <w:rPr>
          <w:sz w:val="28"/>
        </w:rPr>
        <w:t xml:space="preserve">Чукотского автономного округа  </w:t>
      </w:r>
      <w:r>
        <w:rPr>
          <w:sz w:val="28"/>
        </w:rPr>
        <w:t>и нарушений обязательных требований.</w:t>
      </w:r>
    </w:p>
    <w:p w14:paraId="82000000">
      <w:pPr>
        <w:ind w:firstLine="709" w:left="0"/>
        <w:jc w:val="both"/>
        <w:rPr>
          <w:sz w:val="28"/>
        </w:rPr>
      </w:pPr>
      <w:r>
        <w:rPr>
          <w:sz w:val="28"/>
        </w:rPr>
        <w:t>- развитие системы профилактических мероприятий Комитета: внедрение различных способов профилактики; обеспечение квалифицированной профилактической работы должностных лиц Комитета.</w:t>
      </w:r>
    </w:p>
    <w:p w14:paraId="83000000">
      <w:pPr>
        <w:ind w:firstLine="709" w:left="0"/>
        <w:jc w:val="both"/>
        <w:rPr>
          <w:sz w:val="28"/>
        </w:rPr>
      </w:pPr>
      <w:r>
        <w:rPr>
          <w:sz w:val="28"/>
        </w:rPr>
        <w:t>- повышение информированности подконтрольных субъектов о действующих нормативных правовых актах, содержащих обязательные требования в области охраны объектов культурного наследия, о действующих требованиях законодательства в области охраны объектов культурного наследия, что в результате должно привести к снижению количества нарушений обязательных требований и уменьшению количества случаев причинения вреда либо угрозы причинения вреда объектам культурного наследия вследствие нарушений обязательных требований.</w:t>
      </w:r>
    </w:p>
    <w:p w14:paraId="84000000">
      <w:pPr>
        <w:rPr>
          <w:sz w:val="28"/>
        </w:rPr>
      </w:pPr>
    </w:p>
    <w:p w14:paraId="85000000">
      <w:pPr>
        <w:pStyle w:val="Style_4"/>
        <w:spacing w:after="0" w:before="0"/>
        <w:ind/>
        <w:jc w:val="center"/>
        <w:rPr>
          <w:sz w:val="28"/>
        </w:rPr>
      </w:pPr>
      <w:r>
        <w:rPr>
          <w:b w:val="1"/>
          <w:color w:val="000000"/>
          <w:sz w:val="28"/>
        </w:rPr>
        <w:t>III. Перечень профилактических мероприятий, сроки</w:t>
      </w:r>
    </w:p>
    <w:p w14:paraId="86000000">
      <w:pPr>
        <w:pStyle w:val="Style_4"/>
        <w:spacing w:after="0" w:before="0"/>
        <w:ind w:firstLine="567" w:left="0"/>
        <w:jc w:val="center"/>
        <w:rPr>
          <w:sz w:val="28"/>
        </w:rPr>
      </w:pPr>
      <w:r>
        <w:rPr>
          <w:b w:val="1"/>
          <w:color w:val="000000"/>
          <w:sz w:val="28"/>
        </w:rPr>
        <w:t>(периодичность) их проведения</w:t>
      </w:r>
    </w:p>
    <w:p w14:paraId="87000000">
      <w:pPr>
        <w:rPr>
          <w:sz w:val="28"/>
        </w:rPr>
      </w:pPr>
    </w:p>
    <w:p w14:paraId="88000000">
      <w:pPr>
        <w:pStyle w:val="Style_4"/>
        <w:spacing w:after="0" w:before="0"/>
        <w:ind w:firstLine="567" w:left="0"/>
        <w:jc w:val="both"/>
        <w:rPr>
          <w:sz w:val="28"/>
        </w:rPr>
      </w:pPr>
      <w:r>
        <w:rPr>
          <w:color w:val="000000"/>
          <w:sz w:val="28"/>
        </w:rPr>
        <w:t xml:space="preserve">1. В соответствии с </w:t>
      </w:r>
      <w:r>
        <w:rPr>
          <w:sz w:val="28"/>
        </w:rPr>
        <w:t>Положением о</w:t>
      </w:r>
      <w:r>
        <w:rPr>
          <w:b w:val="1"/>
          <w:sz w:val="28"/>
        </w:rPr>
        <w:t xml:space="preserve"> </w:t>
      </w:r>
      <w:r>
        <w:rPr>
          <w:sz w:val="28"/>
        </w:rPr>
        <w:t xml:space="preserve">федеральном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утвержденным постановлением Правительства Российской Федерации от 30.06.2021 № 1093, </w:t>
      </w:r>
      <w:r>
        <w:rPr>
          <w:color w:val="000000"/>
          <w:sz w:val="28"/>
        </w:rPr>
        <w:t>проводятся следующие профилактические мероприятия: </w:t>
      </w:r>
    </w:p>
    <w:p w14:paraId="89000000">
      <w:pPr>
        <w:pStyle w:val="Style_4"/>
        <w:spacing w:after="0" w:before="0"/>
        <w:ind w:firstLine="567" w:left="0"/>
        <w:jc w:val="both"/>
        <w:rPr>
          <w:sz w:val="28"/>
        </w:rPr>
      </w:pPr>
      <w:r>
        <w:rPr>
          <w:color w:val="000000"/>
          <w:sz w:val="28"/>
        </w:rPr>
        <w:t>1) информирование;</w:t>
      </w:r>
    </w:p>
    <w:p w14:paraId="8A000000">
      <w:pPr>
        <w:pStyle w:val="Style_4"/>
        <w:spacing w:after="0" w:before="0"/>
        <w:ind w:firstLine="567" w:left="0"/>
        <w:jc w:val="both"/>
        <w:rPr>
          <w:sz w:val="28"/>
        </w:rPr>
      </w:pPr>
      <w:r>
        <w:rPr>
          <w:color w:val="000000"/>
          <w:sz w:val="28"/>
        </w:rPr>
        <w:t>2) обобщение правоприменительной практики; </w:t>
      </w:r>
    </w:p>
    <w:p w14:paraId="8B000000">
      <w:pPr>
        <w:pStyle w:val="Style_4"/>
        <w:spacing w:after="0" w:before="0"/>
        <w:ind w:firstLine="567" w:left="0"/>
        <w:jc w:val="both"/>
        <w:rPr>
          <w:sz w:val="28"/>
        </w:rPr>
      </w:pPr>
      <w:r>
        <w:rPr>
          <w:color w:val="000000"/>
          <w:sz w:val="28"/>
        </w:rPr>
        <w:t>3) объявление предостережения;</w:t>
      </w:r>
    </w:p>
    <w:p w14:paraId="8C000000">
      <w:pPr>
        <w:pStyle w:val="Style_4"/>
        <w:spacing w:after="0" w:before="0"/>
        <w:ind w:firstLine="567" w:left="0"/>
        <w:jc w:val="both"/>
        <w:rPr>
          <w:sz w:val="28"/>
        </w:rPr>
      </w:pPr>
      <w:r>
        <w:rPr>
          <w:color w:val="000000"/>
          <w:sz w:val="28"/>
        </w:rPr>
        <w:t>4) консультирование;</w:t>
      </w:r>
    </w:p>
    <w:p w14:paraId="8D000000">
      <w:pPr>
        <w:pStyle w:val="Style_4"/>
        <w:spacing w:after="0" w:before="0"/>
        <w:ind w:firstLine="567" w:left="0"/>
        <w:jc w:val="both"/>
        <w:rPr>
          <w:sz w:val="28"/>
        </w:rPr>
      </w:pPr>
      <w:r>
        <w:rPr>
          <w:color w:val="000000"/>
          <w:sz w:val="28"/>
        </w:rPr>
        <w:t>5) профилактический визит.</w:t>
      </w:r>
    </w:p>
    <w:p w14:paraId="8E000000">
      <w:pPr>
        <w:pStyle w:val="Style_4"/>
        <w:spacing w:after="0" w:before="0"/>
        <w:ind w:firstLine="567" w:left="0"/>
        <w:jc w:val="both"/>
        <w:rPr>
          <w:sz w:val="28"/>
        </w:rPr>
      </w:pPr>
      <w:r>
        <w:rPr>
          <w:color w:val="000000"/>
          <w:sz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 профилактики.</w:t>
      </w:r>
    </w:p>
    <w:p w14:paraId="8F000000">
      <w:pPr>
        <w:pStyle w:val="Style_4"/>
        <w:spacing w:after="0" w:before="0"/>
        <w:ind/>
        <w:jc w:val="center"/>
        <w:rPr>
          <w:b w:val="1"/>
          <w:color w:val="000000"/>
          <w:sz w:val="28"/>
        </w:rPr>
      </w:pPr>
    </w:p>
    <w:p w14:paraId="90000000">
      <w:pPr>
        <w:pStyle w:val="Style_4"/>
        <w:spacing w:after="0" w:before="0"/>
        <w:ind/>
        <w:jc w:val="center"/>
        <w:rPr>
          <w:sz w:val="28"/>
        </w:rPr>
      </w:pPr>
      <w:r>
        <w:rPr>
          <w:b w:val="1"/>
          <w:color w:val="000000"/>
          <w:sz w:val="28"/>
        </w:rPr>
        <w:t>IV. Показатели результативности и эффективности Программы профилактики</w:t>
      </w:r>
    </w:p>
    <w:p w14:paraId="91000000">
      <w:pPr>
        <w:pStyle w:val="Style_4"/>
        <w:spacing w:after="0" w:before="0"/>
        <w:ind/>
        <w:jc w:val="center"/>
        <w:rPr>
          <w:sz w:val="28"/>
        </w:rPr>
      </w:pPr>
    </w:p>
    <w:p w14:paraId="92000000">
      <w:pPr>
        <w:ind w:firstLine="709" w:left="0"/>
        <w:jc w:val="both"/>
        <w:rPr>
          <w:sz w:val="28"/>
        </w:rPr>
      </w:pPr>
      <w:r>
        <w:rPr>
          <w:sz w:val="28"/>
        </w:rPr>
        <w:t>Основными критериями оценки эффективности и результативности профилактических мероприятий являются:</w:t>
      </w:r>
    </w:p>
    <w:p w14:paraId="93000000">
      <w:pPr>
        <w:ind w:firstLine="709" w:left="0"/>
        <w:jc w:val="both"/>
        <w:rPr>
          <w:sz w:val="28"/>
        </w:rPr>
      </w:pPr>
      <w:r>
        <w:rPr>
          <w:sz w:val="28"/>
        </w:rPr>
        <w:t>- результативность деятельности Комитета;</w:t>
      </w:r>
    </w:p>
    <w:p w14:paraId="94000000">
      <w:pPr>
        <w:ind w:firstLine="709" w:left="0"/>
        <w:jc w:val="both"/>
        <w:rPr>
          <w:sz w:val="28"/>
        </w:rPr>
      </w:pPr>
      <w:r>
        <w:rPr>
          <w:sz w:val="28"/>
        </w:rPr>
        <w:t>- 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подконтрольных субъектов в ходе мероприятий по контролю;</w:t>
      </w:r>
    </w:p>
    <w:p w14:paraId="95000000">
      <w:pPr>
        <w:ind w:firstLine="709" w:left="0"/>
        <w:jc w:val="both"/>
        <w:rPr>
          <w:sz w:val="28"/>
        </w:rPr>
      </w:pPr>
      <w:r>
        <w:rPr>
          <w:sz w:val="28"/>
        </w:rPr>
        <w:t>- понятность обязательных требований подконтрольным субъектам;</w:t>
      </w:r>
    </w:p>
    <w:p w14:paraId="96000000">
      <w:pPr>
        <w:ind w:firstLine="709" w:left="0"/>
        <w:jc w:val="both"/>
        <w:rPr>
          <w:sz w:val="28"/>
        </w:rPr>
      </w:pPr>
      <w:r>
        <w:rPr>
          <w:sz w:val="28"/>
        </w:rPr>
        <w:t>-</w:t>
      </w:r>
      <w:r>
        <w:rPr>
          <w:sz w:val="28"/>
        </w:rPr>
        <w:t xml:space="preserve"> </w:t>
      </w:r>
      <w:r>
        <w:rPr>
          <w:sz w:val="28"/>
        </w:rPr>
        <w:t>вовлечение подконтрольных субъектов во взаимодействие с Комитетом, в том числе в рамках проводимых профилактических мероприятий.</w:t>
      </w:r>
    </w:p>
    <w:p w14:paraId="97000000">
      <w:pPr>
        <w:ind w:firstLine="709" w:left="0"/>
        <w:jc w:val="both"/>
        <w:rPr>
          <w:sz w:val="28"/>
        </w:rPr>
      </w:pPr>
      <w:r>
        <w:rPr>
          <w:sz w:val="28"/>
        </w:rPr>
        <w:t>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w:t>
      </w:r>
    </w:p>
    <w:p w14:paraId="98000000">
      <w:pPr>
        <w:widowControl w:val="0"/>
        <w:ind w:firstLine="709" w:left="0"/>
        <w:jc w:val="both"/>
        <w:rPr>
          <w:sz w:val="28"/>
        </w:rPr>
      </w:pPr>
      <w:r>
        <w:rPr>
          <w:sz w:val="28"/>
        </w:rPr>
        <w:t>- полнота информации, размещенной на официальном сайте инспекции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99000000">
      <w:pPr>
        <w:widowControl w:val="0"/>
        <w:ind w:firstLine="709" w:left="0"/>
        <w:jc w:val="both"/>
        <w:rPr>
          <w:sz w:val="28"/>
        </w:rPr>
      </w:pPr>
      <w:r>
        <w:rPr>
          <w:sz w:val="28"/>
        </w:rPr>
        <w:t>- отношение количества проведенных профилактических мероприятий без нарушений требований Федерального закона</w:t>
      </w:r>
      <w:r>
        <w:rPr>
          <w:sz w:val="28"/>
        </w:rPr>
        <w:t xml:space="preserve"> </w:t>
      </w:r>
      <w:r>
        <w:rPr>
          <w:sz w:val="28"/>
        </w:rPr>
        <w:t>от 31 июля 2021 г. № 248-ФЗ «О государственном контроле (надзоре) и муниципальном контроле в Российской Федерации» к общему количеству проведенных профилактических мероприятий;</w:t>
      </w:r>
    </w:p>
    <w:p w14:paraId="9A000000">
      <w:pPr>
        <w:widowControl w:val="0"/>
        <w:ind w:firstLine="709" w:left="0"/>
        <w:jc w:val="both"/>
        <w:rPr>
          <w:sz w:val="28"/>
        </w:rPr>
      </w:pPr>
      <w:r>
        <w:rPr>
          <w:sz w:val="28"/>
        </w:rPr>
        <w:t>-</w:t>
      </w:r>
      <w:r>
        <w:rPr>
          <w:sz w:val="28"/>
        </w:rPr>
        <w:t xml:space="preserve"> общее к</w:t>
      </w:r>
      <w:r>
        <w:rPr>
          <w:sz w:val="28"/>
        </w:rPr>
        <w:t>оличество проведенных профилактических мероприятий.</w:t>
      </w:r>
    </w:p>
    <w:p w14:paraId="9B000000">
      <w:pPr>
        <w:widowControl w:val="0"/>
        <w:ind w:firstLine="709" w:left="0"/>
        <w:jc w:val="both"/>
        <w:rPr>
          <w:sz w:val="28"/>
        </w:rPr>
      </w:pPr>
      <w:r>
        <w:rPr>
          <w:sz w:val="28"/>
        </w:rPr>
        <w:t xml:space="preserve">  Результаты оценки эффективности и результативности профилактических мероприятий отражаются в докладе об итогах профилактической работы, проведенной инспекцией.</w:t>
      </w:r>
    </w:p>
    <w:p w14:paraId="9C000000">
      <w:pPr>
        <w:widowControl w:val="0"/>
        <w:spacing w:after="160" w:line="252" w:lineRule="auto"/>
        <w:ind w:firstLine="709" w:left="0" w:right="321"/>
        <w:contextualSpacing w:val="1"/>
        <w:jc w:val="both"/>
        <w:rPr>
          <w:sz w:val="28"/>
        </w:rPr>
      </w:pPr>
      <w:r>
        <w:rPr>
          <w:sz w:val="28"/>
        </w:rPr>
        <w:t>Оценка эффективности реализации программы рассчитывается ежегодно (по итогам календарного года) по результатам анализа характеристик достижения значений целевых показателей реализации программы.</w:t>
      </w:r>
    </w:p>
    <w:p w14:paraId="9D000000">
      <w:pPr>
        <w:widowControl w:val="0"/>
        <w:spacing w:after="160" w:line="252" w:lineRule="auto"/>
        <w:ind w:firstLine="709" w:left="0" w:right="321"/>
        <w:contextualSpacing w:val="1"/>
        <w:jc w:val="both"/>
        <w:rPr>
          <w:sz w:val="28"/>
        </w:rPr>
      </w:pPr>
      <w:r>
        <w:rPr>
          <w:sz w:val="28"/>
        </w:rPr>
        <w:t>Отклонение фактического значения одного из показателей от целевого значения более чем на 20 % в сторону уменьшения,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w:t>
      </w:r>
    </w:p>
    <w:p w14:paraId="9E000000">
      <w:pPr>
        <w:ind/>
        <w:jc w:val="center"/>
        <w:rPr>
          <w:b w:val="1"/>
          <w:sz w:val="28"/>
        </w:rPr>
      </w:pPr>
      <w:r>
        <w:rPr>
          <w:b w:val="1"/>
          <w:sz w:val="28"/>
        </w:rPr>
        <w:t xml:space="preserve">Показатели </w:t>
      </w:r>
    </w:p>
    <w:p w14:paraId="9F000000">
      <w:pPr>
        <w:ind/>
        <w:jc w:val="center"/>
        <w:rPr>
          <w:b w:val="1"/>
          <w:sz w:val="28"/>
        </w:rPr>
      </w:pPr>
      <w:r>
        <w:rPr>
          <w:b w:val="1"/>
          <w:sz w:val="28"/>
        </w:rPr>
        <w:t xml:space="preserve">эффективности и результативности профилактических мероприятий </w:t>
      </w:r>
    </w:p>
    <w:p w14:paraId="A0000000">
      <w:pPr>
        <w:ind/>
        <w:jc w:val="center"/>
        <w:rPr>
          <w:b w:val="1"/>
          <w:sz w:val="28"/>
        </w:rPr>
      </w:pPr>
      <w:r>
        <w:rPr>
          <w:b w:val="1"/>
          <w:sz w:val="28"/>
        </w:rPr>
        <w:t>в 202</w:t>
      </w:r>
      <w:r>
        <w:rPr>
          <w:b w:val="1"/>
          <w:sz w:val="28"/>
        </w:rPr>
        <w:t>4</w:t>
      </w:r>
      <w:r>
        <w:rPr>
          <w:b w:val="1"/>
          <w:sz w:val="28"/>
        </w:rPr>
        <w:t xml:space="preserve"> году</w:t>
      </w:r>
    </w:p>
    <w:tbl>
      <w:tblPr>
        <w:tblStyle w:val="Style_2"/>
        <w:tblW w:type="auto" w:w="0"/>
        <w:tblInd w:type="dxa" w:w="62"/>
        <w:tblLayout w:type="fixed"/>
        <w:tblCellMar>
          <w:top w:type="dxa" w:w="102"/>
          <w:left w:type="dxa" w:w="62"/>
          <w:bottom w:type="dxa" w:w="102"/>
          <w:right w:type="dxa" w:w="62"/>
        </w:tblCellMar>
      </w:tblPr>
      <w:tblGrid>
        <w:gridCol w:w="510"/>
        <w:gridCol w:w="6576"/>
        <w:gridCol w:w="2837"/>
      </w:tblGrid>
      <w:tr>
        <w:tc>
          <w:tcPr>
            <w:tcW w:type="dxa" w:w="510"/>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widowControl w:val="0"/>
              <w:spacing w:after="60" w:before="60" w:line="276" w:lineRule="auto"/>
              <w:ind/>
              <w:contextualSpacing w:val="1"/>
              <w:jc w:val="both"/>
              <w:rPr>
                <w:sz w:val="20"/>
              </w:rPr>
            </w:pPr>
            <w:r>
              <w:rPr>
                <w:sz w:val="20"/>
              </w:rPr>
              <w:t>№ п/п</w:t>
            </w:r>
          </w:p>
        </w:tc>
        <w:tc>
          <w:tcPr>
            <w:tcW w:type="dxa" w:w="65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widowControl w:val="0"/>
              <w:spacing w:after="60" w:before="60" w:line="276" w:lineRule="auto"/>
              <w:ind/>
              <w:contextualSpacing w:val="1"/>
              <w:jc w:val="center"/>
              <w:rPr>
                <w:sz w:val="20"/>
              </w:rPr>
            </w:pPr>
            <w:r>
              <w:rPr>
                <w:sz w:val="20"/>
              </w:rPr>
              <w:t>Наименование показателя</w:t>
            </w:r>
          </w:p>
        </w:tc>
        <w:tc>
          <w:tcPr>
            <w:tcW w:type="dxa" w:w="2837"/>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widowControl w:val="0"/>
              <w:spacing w:after="60" w:before="60" w:line="276" w:lineRule="auto"/>
              <w:ind/>
              <w:contextualSpacing w:val="1"/>
              <w:jc w:val="center"/>
              <w:rPr>
                <w:sz w:val="20"/>
              </w:rPr>
            </w:pPr>
            <w:r>
              <w:rPr>
                <w:sz w:val="20"/>
              </w:rPr>
              <w:t>Величина</w:t>
            </w:r>
          </w:p>
        </w:tc>
      </w:tr>
      <w:tr>
        <w:trPr>
          <w:trHeight w:hRule="atLeast" w:val="613"/>
        </w:trPr>
        <w:tc>
          <w:tcPr>
            <w:tcW w:type="dxa" w:w="510"/>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widowControl w:val="0"/>
              <w:spacing w:after="60" w:before="60" w:line="276" w:lineRule="auto"/>
              <w:ind/>
              <w:contextualSpacing w:val="1"/>
              <w:jc w:val="both"/>
              <w:rPr>
                <w:sz w:val="20"/>
              </w:rPr>
            </w:pPr>
            <w:r>
              <w:rPr>
                <w:sz w:val="20"/>
              </w:rPr>
              <w:t>1.</w:t>
            </w:r>
          </w:p>
        </w:tc>
        <w:tc>
          <w:tcPr>
            <w:tcW w:type="dxa" w:w="65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widowControl w:val="0"/>
              <w:spacing w:after="60" w:before="60" w:line="276" w:lineRule="auto"/>
              <w:ind/>
              <w:contextualSpacing w:val="1"/>
              <w:jc w:val="both"/>
              <w:rPr>
                <w:sz w:val="20"/>
              </w:rPr>
            </w:pPr>
            <w:r>
              <w:rPr>
                <w:sz w:val="20"/>
              </w:rPr>
              <w:t>Полнота информации, размещенной на официальном сайте</w:t>
            </w:r>
            <w:r>
              <w:rPr>
                <w:sz w:val="20"/>
              </w:rPr>
              <w:t xml:space="preserve"> Комитета</w:t>
            </w:r>
            <w:r>
              <w:rPr>
                <w:sz w:val="20"/>
              </w:rPr>
              <w:t xml:space="preserve">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type="dxa" w:w="2837"/>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widowControl w:val="0"/>
              <w:spacing w:after="60" w:before="60" w:line="276" w:lineRule="auto"/>
              <w:ind/>
              <w:contextualSpacing w:val="1"/>
              <w:jc w:val="center"/>
              <w:rPr>
                <w:sz w:val="20"/>
              </w:rPr>
            </w:pPr>
            <w:r>
              <w:rPr>
                <w:sz w:val="20"/>
              </w:rPr>
              <w:t>10</w:t>
            </w:r>
            <w:r>
              <w:rPr>
                <w:sz w:val="20"/>
              </w:rPr>
              <w:t>0%</w:t>
            </w:r>
          </w:p>
        </w:tc>
      </w:tr>
      <w:tr>
        <w:tc>
          <w:tcPr>
            <w:tcW w:type="dxa" w:w="510"/>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widowControl w:val="0"/>
              <w:spacing w:after="60" w:before="60" w:line="276" w:lineRule="auto"/>
              <w:ind/>
              <w:contextualSpacing w:val="1"/>
              <w:jc w:val="both"/>
              <w:rPr>
                <w:sz w:val="20"/>
              </w:rPr>
            </w:pPr>
            <w:r>
              <w:rPr>
                <w:sz w:val="20"/>
              </w:rPr>
              <w:t>2.</w:t>
            </w:r>
          </w:p>
        </w:tc>
        <w:tc>
          <w:tcPr>
            <w:tcW w:type="dxa" w:w="65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widowControl w:val="0"/>
              <w:spacing w:after="60" w:before="60" w:line="276" w:lineRule="auto"/>
              <w:ind/>
              <w:contextualSpacing w:val="1"/>
              <w:jc w:val="both"/>
              <w:rPr>
                <w:sz w:val="20"/>
              </w:rPr>
            </w:pPr>
            <w:r>
              <w:rPr>
                <w:sz w:val="20"/>
              </w:rPr>
              <w:t>Отношение количества проведенных профилактических мероприятий без нарушений требований Федерального закона от 31 июля 2021 г. № 248-ФЗ «О государственном контроле (надзоре) и муниципальном контроле в Российской Федерации» к общему количеству проведенных профилактических мероприятий</w:t>
            </w:r>
          </w:p>
        </w:tc>
        <w:tc>
          <w:tcPr>
            <w:tcW w:type="dxa" w:w="2837"/>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widowControl w:val="0"/>
              <w:spacing w:after="60" w:before="60" w:line="276" w:lineRule="auto"/>
              <w:ind/>
              <w:contextualSpacing w:val="1"/>
              <w:jc w:val="center"/>
              <w:rPr>
                <w:sz w:val="20"/>
              </w:rPr>
            </w:pPr>
            <w:r>
              <w:rPr>
                <w:sz w:val="20"/>
              </w:rPr>
              <w:t>100</w:t>
            </w:r>
            <w:r>
              <w:rPr>
                <w:sz w:val="20"/>
              </w:rPr>
              <w:t>%</w:t>
            </w:r>
          </w:p>
        </w:tc>
      </w:tr>
      <w:tr>
        <w:tc>
          <w:tcPr>
            <w:tcW w:type="dxa" w:w="510"/>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widowControl w:val="0"/>
              <w:spacing w:after="60" w:before="60" w:line="276" w:lineRule="auto"/>
              <w:ind/>
              <w:contextualSpacing w:val="1"/>
              <w:jc w:val="both"/>
              <w:rPr>
                <w:sz w:val="20"/>
              </w:rPr>
            </w:pPr>
            <w:r>
              <w:rPr>
                <w:sz w:val="20"/>
              </w:rPr>
              <w:t>3</w:t>
            </w:r>
            <w:r>
              <w:rPr>
                <w:sz w:val="20"/>
              </w:rPr>
              <w:t>.</w:t>
            </w:r>
          </w:p>
        </w:tc>
        <w:tc>
          <w:tcPr>
            <w:tcW w:type="dxa" w:w="65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widowControl w:val="0"/>
              <w:spacing w:after="60" w:before="60" w:line="276" w:lineRule="auto"/>
              <w:ind/>
              <w:contextualSpacing w:val="1"/>
              <w:jc w:val="both"/>
              <w:rPr>
                <w:sz w:val="20"/>
              </w:rPr>
            </w:pPr>
            <w:r>
              <w:rPr>
                <w:sz w:val="20"/>
              </w:rPr>
              <w:t>Количество проведенных профилактических мероприятий</w:t>
            </w:r>
          </w:p>
        </w:tc>
        <w:tc>
          <w:tcPr>
            <w:tcW w:type="dxa" w:w="2837"/>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widowControl w:val="0"/>
              <w:spacing w:after="60" w:before="60" w:line="276" w:lineRule="auto"/>
              <w:ind/>
              <w:contextualSpacing w:val="1"/>
              <w:jc w:val="center"/>
              <w:rPr>
                <w:sz w:val="20"/>
              </w:rPr>
            </w:pPr>
            <w:r>
              <w:rPr>
                <w:sz w:val="20"/>
              </w:rPr>
              <w:t>2</w:t>
            </w:r>
            <w:r>
              <w:rPr>
                <w:sz w:val="20"/>
              </w:rPr>
              <w:t>0%</w:t>
            </w:r>
          </w:p>
        </w:tc>
      </w:tr>
    </w:tbl>
    <w:p w14:paraId="AD000000">
      <w:pPr>
        <w:sectPr>
          <w:pgSz w:h="16840" w:orient="portrait" w:w="11907"/>
          <w:pgMar w:bottom="1134" w:footer="680" w:gutter="0" w:header="680" w:left="1701" w:right="850" w:top="1134"/>
          <w:pgNumType w:start="1"/>
          <w:titlePg/>
        </w:sectPr>
      </w:pPr>
    </w:p>
    <w:p w14:paraId="AE000000">
      <w:pPr>
        <w:pStyle w:val="Style_4"/>
        <w:spacing w:after="0" w:before="0"/>
        <w:ind/>
        <w:jc w:val="right"/>
        <w:rPr>
          <w:color w:val="000000"/>
          <w:sz w:val="28"/>
        </w:rPr>
      </w:pPr>
      <w:r>
        <w:rPr>
          <w:color w:val="000000"/>
          <w:sz w:val="28"/>
        </w:rPr>
        <w:t>Приложение</w:t>
      </w:r>
      <w:r>
        <w:rPr>
          <w:color w:val="000000"/>
          <w:sz w:val="28"/>
        </w:rPr>
        <w:t xml:space="preserve"> </w:t>
      </w:r>
      <w:r>
        <w:rPr>
          <w:color w:val="000000"/>
          <w:sz w:val="28"/>
        </w:rPr>
        <w:t xml:space="preserve"> к Программе профилактики рисков </w:t>
      </w:r>
    </w:p>
    <w:p w14:paraId="AF000000">
      <w:pPr>
        <w:pStyle w:val="Style_4"/>
        <w:spacing w:after="0" w:before="0"/>
        <w:ind/>
        <w:jc w:val="right"/>
        <w:rPr>
          <w:color w:val="000000"/>
          <w:sz w:val="28"/>
        </w:rPr>
      </w:pPr>
      <w:r>
        <w:rPr>
          <w:color w:val="000000"/>
          <w:sz w:val="28"/>
        </w:rPr>
        <w:t xml:space="preserve">причинения вреда (ущерба) охраняемым законом ценностям </w:t>
      </w:r>
    </w:p>
    <w:p w14:paraId="B0000000">
      <w:pPr>
        <w:pStyle w:val="Style_4"/>
        <w:spacing w:after="0" w:before="0"/>
        <w:ind/>
        <w:jc w:val="right"/>
        <w:rPr>
          <w:color w:val="000000"/>
          <w:sz w:val="28"/>
        </w:rPr>
      </w:pPr>
      <w:r>
        <w:rPr>
          <w:color w:val="000000"/>
          <w:sz w:val="28"/>
        </w:rPr>
        <w:t xml:space="preserve">при осуществлении </w:t>
      </w:r>
      <w:r>
        <w:rPr>
          <w:color w:val="000000"/>
          <w:sz w:val="28"/>
        </w:rPr>
        <w:t xml:space="preserve"> федерального г</w:t>
      </w:r>
      <w:r>
        <w:rPr>
          <w:color w:val="000000"/>
          <w:sz w:val="28"/>
        </w:rPr>
        <w:t xml:space="preserve">осударственного контроля (надзора) </w:t>
      </w:r>
    </w:p>
    <w:p w14:paraId="B1000000">
      <w:pPr>
        <w:pStyle w:val="Style_4"/>
        <w:spacing w:after="0" w:before="0"/>
        <w:ind/>
        <w:jc w:val="right"/>
        <w:rPr>
          <w:color w:val="000000"/>
          <w:sz w:val="28"/>
        </w:rPr>
      </w:pPr>
      <w:r>
        <w:rPr>
          <w:color w:val="000000"/>
          <w:sz w:val="28"/>
        </w:rPr>
        <w:t xml:space="preserve">за состоянием, содержанием, сохранением, </w:t>
      </w:r>
    </w:p>
    <w:p w14:paraId="B2000000">
      <w:pPr>
        <w:pStyle w:val="Style_4"/>
        <w:spacing w:after="0" w:before="0"/>
        <w:ind/>
        <w:jc w:val="right"/>
        <w:rPr>
          <w:color w:val="000000"/>
          <w:sz w:val="28"/>
        </w:rPr>
      </w:pPr>
      <w:r>
        <w:rPr>
          <w:color w:val="000000"/>
          <w:sz w:val="28"/>
        </w:rPr>
        <w:t xml:space="preserve">использованием, популяризацией </w:t>
      </w:r>
    </w:p>
    <w:p w14:paraId="B3000000">
      <w:pPr>
        <w:pStyle w:val="Style_4"/>
        <w:spacing w:after="0" w:before="0"/>
        <w:ind/>
        <w:jc w:val="right"/>
        <w:rPr>
          <w:color w:val="000000"/>
          <w:sz w:val="28"/>
        </w:rPr>
      </w:pPr>
      <w:r>
        <w:rPr>
          <w:color w:val="000000"/>
          <w:sz w:val="28"/>
        </w:rPr>
        <w:t xml:space="preserve">и государственной охраной объектов культурного наследия </w:t>
      </w:r>
    </w:p>
    <w:p w14:paraId="B4000000">
      <w:pPr>
        <w:pStyle w:val="Style_4"/>
        <w:spacing w:after="0" w:before="0"/>
        <w:ind/>
        <w:jc w:val="right"/>
        <w:rPr>
          <w:color w:val="000000"/>
          <w:sz w:val="28"/>
        </w:rPr>
      </w:pPr>
      <w:r>
        <w:rPr>
          <w:color w:val="000000"/>
          <w:sz w:val="28"/>
        </w:rPr>
        <w:t xml:space="preserve">федерального значения на территории </w:t>
      </w:r>
    </w:p>
    <w:p w14:paraId="B5000000">
      <w:pPr>
        <w:pStyle w:val="Style_4"/>
        <w:spacing w:after="0" w:before="0"/>
        <w:ind/>
        <w:jc w:val="right"/>
        <w:rPr>
          <w:color w:val="000000"/>
          <w:sz w:val="28"/>
        </w:rPr>
      </w:pPr>
      <w:r>
        <w:rPr>
          <w:color w:val="000000"/>
          <w:sz w:val="28"/>
        </w:rPr>
        <w:t>Чукотского автономного округа</w:t>
      </w:r>
      <w:r>
        <w:rPr>
          <w:color w:val="000000"/>
          <w:sz w:val="28"/>
        </w:rPr>
        <w:t xml:space="preserve"> на </w:t>
      </w:r>
      <w:r>
        <w:rPr>
          <w:color w:val="000000"/>
          <w:sz w:val="28"/>
        </w:rPr>
        <w:t>202</w:t>
      </w:r>
      <w:r>
        <w:rPr>
          <w:color w:val="000000"/>
          <w:sz w:val="28"/>
        </w:rPr>
        <w:t>5</w:t>
      </w:r>
      <w:r>
        <w:rPr>
          <w:color w:val="000000"/>
          <w:sz w:val="28"/>
        </w:rPr>
        <w:t xml:space="preserve"> год</w:t>
      </w:r>
    </w:p>
    <w:p w14:paraId="B6000000">
      <w:pPr>
        <w:pStyle w:val="Style_4"/>
        <w:spacing w:after="0" w:before="0"/>
        <w:ind/>
        <w:jc w:val="center"/>
        <w:rPr>
          <w:b w:val="1"/>
          <w:color w:val="000000"/>
          <w:sz w:val="28"/>
        </w:rPr>
      </w:pPr>
    </w:p>
    <w:p w14:paraId="B7000000">
      <w:pPr>
        <w:pStyle w:val="Style_4"/>
        <w:spacing w:after="0" w:before="0"/>
        <w:ind/>
        <w:jc w:val="center"/>
        <w:rPr>
          <w:sz w:val="28"/>
        </w:rPr>
      </w:pPr>
      <w:r>
        <w:rPr>
          <w:b w:val="1"/>
          <w:color w:val="000000"/>
          <w:sz w:val="28"/>
        </w:rPr>
        <w:t>Перечень профилактических мероприятий, </w:t>
      </w:r>
    </w:p>
    <w:p w14:paraId="B8000000">
      <w:pPr>
        <w:pStyle w:val="Style_4"/>
        <w:spacing w:after="0" w:before="0"/>
        <w:ind/>
        <w:jc w:val="center"/>
        <w:rPr>
          <w:sz w:val="28"/>
        </w:rPr>
      </w:pPr>
      <w:r>
        <w:rPr>
          <w:b w:val="1"/>
          <w:color w:val="000000"/>
          <w:sz w:val="28"/>
        </w:rPr>
        <w:t>сроки (периодичность) их проведения</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59"/>
        <w:gridCol w:w="3827"/>
        <w:gridCol w:w="5812"/>
        <w:gridCol w:w="4252"/>
      </w:tblGrid>
      <w:tr>
        <w:trPr>
          <w:trHeight w:hRule="atLeast" w:val="776"/>
          <w:tblHeader/>
        </w:trPr>
        <w:tc>
          <w:tcPr>
            <w:tcW w:type="dxa" w:w="959"/>
            <w:tcBorders>
              <w:top w:color="000000" w:sz="4" w:val="single"/>
              <w:left w:color="000000" w:sz="4" w:val="single"/>
              <w:bottom w:color="000000" w:sz="4" w:val="single"/>
              <w:right w:color="000000" w:sz="4" w:val="single"/>
            </w:tcBorders>
            <w:vAlign w:val="center"/>
          </w:tcPr>
          <w:p w14:paraId="B9000000">
            <w:pPr>
              <w:spacing w:after="200" w:line="276" w:lineRule="auto"/>
              <w:ind/>
              <w:jc w:val="center"/>
              <w:rPr>
                <w:sz w:val="28"/>
              </w:rPr>
            </w:pPr>
            <w:r>
              <w:rPr>
                <w:sz w:val="28"/>
              </w:rPr>
              <w:t>№ п/п</w:t>
            </w:r>
          </w:p>
        </w:tc>
        <w:tc>
          <w:tcPr>
            <w:tcW w:type="dxa" w:w="3827"/>
            <w:tcBorders>
              <w:top w:color="000000" w:sz="4" w:val="single"/>
              <w:left w:color="000000" w:sz="4" w:val="single"/>
              <w:bottom w:color="000000" w:sz="4" w:val="single"/>
              <w:right w:color="000000" w:sz="4" w:val="single"/>
            </w:tcBorders>
            <w:vAlign w:val="center"/>
          </w:tcPr>
          <w:p w14:paraId="BA000000">
            <w:pPr>
              <w:spacing w:after="200" w:line="276" w:lineRule="auto"/>
              <w:ind/>
              <w:jc w:val="center"/>
              <w:rPr>
                <w:sz w:val="28"/>
              </w:rPr>
            </w:pPr>
            <w:r>
              <w:rPr>
                <w:sz w:val="28"/>
              </w:rPr>
              <w:t>Наименование профилактического мероприятия</w:t>
            </w:r>
          </w:p>
        </w:tc>
        <w:tc>
          <w:tcPr>
            <w:tcW w:type="dxa" w:w="5812"/>
            <w:tcBorders>
              <w:top w:color="000000" w:sz="4" w:val="single"/>
              <w:left w:color="000000" w:sz="4" w:val="single"/>
              <w:bottom w:color="000000" w:sz="4" w:val="single"/>
              <w:right w:color="000000" w:sz="4" w:val="single"/>
            </w:tcBorders>
            <w:vAlign w:val="center"/>
          </w:tcPr>
          <w:p w14:paraId="BB000000">
            <w:pPr>
              <w:spacing w:after="200" w:line="276" w:lineRule="auto"/>
              <w:ind/>
              <w:jc w:val="center"/>
              <w:rPr>
                <w:sz w:val="28"/>
              </w:rPr>
            </w:pPr>
            <w:r>
              <w:rPr>
                <w:sz w:val="28"/>
              </w:rPr>
              <w:t>Срок выполнения мероприятия</w:t>
            </w:r>
          </w:p>
        </w:tc>
        <w:tc>
          <w:tcPr>
            <w:tcW w:type="dxa" w:w="4252"/>
            <w:tcBorders>
              <w:top w:color="000000" w:sz="4" w:val="single"/>
              <w:left w:color="000000" w:sz="4" w:val="single"/>
              <w:bottom w:color="000000" w:sz="4" w:val="single"/>
              <w:right w:color="000000" w:sz="4" w:val="single"/>
            </w:tcBorders>
            <w:vAlign w:val="center"/>
          </w:tcPr>
          <w:p w14:paraId="BC000000">
            <w:pPr>
              <w:spacing w:after="200" w:line="276" w:lineRule="auto"/>
              <w:ind/>
              <w:jc w:val="center"/>
              <w:rPr>
                <w:sz w:val="28"/>
              </w:rPr>
            </w:pPr>
            <w:r>
              <w:rPr>
                <w:sz w:val="28"/>
              </w:rPr>
              <w:t xml:space="preserve">Ответственный </w:t>
            </w:r>
          </w:p>
          <w:p w14:paraId="BD000000">
            <w:pPr>
              <w:spacing w:after="200" w:line="276" w:lineRule="auto"/>
              <w:ind/>
              <w:jc w:val="center"/>
              <w:rPr>
                <w:sz w:val="28"/>
              </w:rPr>
            </w:pPr>
            <w:r>
              <w:rPr>
                <w:sz w:val="28"/>
              </w:rPr>
              <w:t>за исполнение</w:t>
            </w:r>
          </w:p>
        </w:tc>
      </w:tr>
      <w:tr>
        <w:trPr>
          <w:tblHeader/>
        </w:trPr>
        <w:tc>
          <w:tcPr>
            <w:tcW w:type="dxa" w:w="959"/>
            <w:tcBorders>
              <w:top w:color="000000" w:sz="4" w:val="single"/>
              <w:left w:color="000000" w:sz="4" w:val="single"/>
              <w:bottom w:color="000000" w:sz="4" w:val="single"/>
              <w:right w:color="000000" w:sz="4" w:val="single"/>
            </w:tcBorders>
            <w:vAlign w:val="center"/>
          </w:tcPr>
          <w:p w14:paraId="BE000000">
            <w:pPr>
              <w:spacing w:after="60" w:before="60" w:line="276" w:lineRule="auto"/>
              <w:ind w:firstLine="34" w:left="0"/>
              <w:contextualSpacing w:val="1"/>
              <w:jc w:val="center"/>
              <w:rPr>
                <w:sz w:val="28"/>
              </w:rPr>
            </w:pPr>
            <w:r>
              <w:rPr>
                <w:sz w:val="28"/>
              </w:rPr>
              <w:t>1</w:t>
            </w:r>
          </w:p>
        </w:tc>
        <w:tc>
          <w:tcPr>
            <w:tcW w:type="dxa" w:w="3827"/>
            <w:tcBorders>
              <w:top w:color="000000" w:sz="4" w:val="single"/>
              <w:left w:color="000000" w:sz="4" w:val="single"/>
              <w:bottom w:color="000000" w:sz="4" w:val="single"/>
              <w:right w:color="000000" w:sz="4" w:val="single"/>
            </w:tcBorders>
            <w:vAlign w:val="center"/>
          </w:tcPr>
          <w:p w14:paraId="BF000000">
            <w:pPr>
              <w:spacing w:after="60" w:before="60" w:line="276" w:lineRule="auto"/>
              <w:ind w:firstLine="34" w:left="0"/>
              <w:contextualSpacing w:val="1"/>
              <w:jc w:val="center"/>
              <w:rPr>
                <w:sz w:val="28"/>
              </w:rPr>
            </w:pPr>
            <w:r>
              <w:rPr>
                <w:sz w:val="28"/>
              </w:rPr>
              <w:t>2</w:t>
            </w:r>
          </w:p>
        </w:tc>
        <w:tc>
          <w:tcPr>
            <w:tcW w:type="dxa" w:w="5812"/>
            <w:tcBorders>
              <w:top w:color="000000" w:sz="4" w:val="single"/>
              <w:left w:color="000000" w:sz="4" w:val="single"/>
              <w:bottom w:color="000000" w:sz="4" w:val="single"/>
              <w:right w:color="000000" w:sz="4" w:val="single"/>
            </w:tcBorders>
            <w:vAlign w:val="center"/>
          </w:tcPr>
          <w:p w14:paraId="C0000000">
            <w:pPr>
              <w:spacing w:after="60" w:before="60" w:line="276" w:lineRule="auto"/>
              <w:ind w:firstLine="34" w:left="0"/>
              <w:contextualSpacing w:val="1"/>
              <w:jc w:val="center"/>
              <w:rPr>
                <w:sz w:val="28"/>
              </w:rPr>
            </w:pPr>
            <w:r>
              <w:rPr>
                <w:sz w:val="28"/>
              </w:rPr>
              <w:t>3</w:t>
            </w:r>
          </w:p>
        </w:tc>
        <w:tc>
          <w:tcPr>
            <w:tcW w:type="dxa" w:w="4252"/>
            <w:tcBorders>
              <w:top w:color="000000" w:sz="4" w:val="single"/>
              <w:left w:color="000000" w:sz="4" w:val="single"/>
              <w:bottom w:color="000000" w:sz="4" w:val="single"/>
              <w:right w:color="000000" w:sz="4" w:val="single"/>
            </w:tcBorders>
            <w:vAlign w:val="center"/>
          </w:tcPr>
          <w:p w14:paraId="C1000000">
            <w:pPr>
              <w:spacing w:after="60" w:before="60" w:line="276" w:lineRule="auto"/>
              <w:ind w:firstLine="34" w:left="0"/>
              <w:contextualSpacing w:val="1"/>
              <w:jc w:val="center"/>
              <w:rPr>
                <w:sz w:val="28"/>
              </w:rPr>
            </w:pPr>
            <w:r>
              <w:rPr>
                <w:sz w:val="28"/>
              </w:rPr>
              <w:t>4</w:t>
            </w:r>
          </w:p>
        </w:tc>
      </w:tr>
      <w:tr>
        <w:trPr>
          <w:trHeight w:hRule="atLeast" w:val="2903"/>
        </w:trPr>
        <w:tc>
          <w:tcPr>
            <w:tcW w:type="dxa" w:w="959"/>
            <w:tcBorders>
              <w:top w:color="000000" w:sz="4" w:val="single"/>
              <w:left w:color="000000" w:sz="4" w:val="single"/>
              <w:bottom w:color="000000" w:sz="4" w:val="single"/>
              <w:right w:color="000000" w:sz="4" w:val="single"/>
            </w:tcBorders>
          </w:tcPr>
          <w:p w14:paraId="C2000000">
            <w:pPr>
              <w:numPr>
                <w:ilvl w:val="0"/>
                <w:numId w:val="1"/>
              </w:numPr>
              <w:spacing w:after="200" w:before="60" w:line="276" w:lineRule="auto"/>
              <w:ind/>
              <w:contextualSpacing w:val="1"/>
              <w:jc w:val="center"/>
              <w:rPr>
                <w:sz w:val="28"/>
              </w:rPr>
            </w:pPr>
            <w:r>
              <w:rPr>
                <w:sz w:val="28"/>
              </w:rPr>
              <w:t>1</w:t>
            </w:r>
          </w:p>
        </w:tc>
        <w:tc>
          <w:tcPr>
            <w:tcW w:type="dxa" w:w="3827"/>
            <w:tcBorders>
              <w:top w:color="000000" w:sz="4" w:val="single"/>
              <w:left w:color="000000" w:sz="4" w:val="single"/>
              <w:bottom w:color="000000" w:sz="4" w:val="single"/>
              <w:right w:color="000000" w:sz="4" w:val="single"/>
            </w:tcBorders>
          </w:tcPr>
          <w:p w14:paraId="C3000000">
            <w:pPr>
              <w:spacing w:after="60" w:before="60" w:line="276" w:lineRule="auto"/>
              <w:ind/>
              <w:contextualSpacing w:val="1"/>
              <w:jc w:val="both"/>
              <w:rPr>
                <w:spacing w:val="-6"/>
                <w:sz w:val="28"/>
              </w:rPr>
            </w:pPr>
            <w:r>
              <w:rPr>
                <w:spacing w:val="-6"/>
                <w:sz w:val="28"/>
              </w:rPr>
              <w:t>Информирование по вопросам соблюдения обязательных требований</w:t>
            </w:r>
          </w:p>
        </w:tc>
        <w:tc>
          <w:tcPr>
            <w:tcW w:type="dxa" w:w="5812"/>
            <w:tcBorders>
              <w:top w:color="000000" w:sz="4" w:val="single"/>
              <w:left w:color="000000" w:sz="4" w:val="single"/>
              <w:bottom w:color="000000" w:sz="4" w:val="single"/>
              <w:right w:color="000000" w:sz="4" w:val="single"/>
            </w:tcBorders>
          </w:tcPr>
          <w:p w14:paraId="C4000000">
            <w:pPr>
              <w:spacing w:after="200" w:line="276" w:lineRule="auto"/>
              <w:ind/>
              <w:jc w:val="both"/>
              <w:rPr>
                <w:sz w:val="28"/>
              </w:rPr>
            </w:pPr>
            <w:r>
              <w:rPr>
                <w:sz w:val="28"/>
              </w:rPr>
              <w:t>в течение 15 дней с момента принятия нормативных правовых актов, программ, перечней, руководств и иных сведений или внесения  в них изменений</w:t>
            </w:r>
          </w:p>
        </w:tc>
        <w:tc>
          <w:tcPr>
            <w:tcW w:type="dxa" w:w="4252"/>
            <w:tcBorders>
              <w:top w:color="000000" w:sz="4" w:val="single"/>
              <w:left w:color="000000" w:sz="4" w:val="single"/>
              <w:bottom w:color="000000" w:sz="4" w:val="single"/>
              <w:right w:color="000000" w:sz="4" w:val="single"/>
            </w:tcBorders>
          </w:tcPr>
          <w:p w14:paraId="C5000000">
            <w:pPr>
              <w:ind/>
              <w:jc w:val="both"/>
              <w:rPr>
                <w:sz w:val="28"/>
              </w:rPr>
            </w:pPr>
            <w:r>
              <w:rPr>
                <w:sz w:val="28"/>
              </w:rPr>
              <w:t>Специалист уполномоченный</w:t>
            </w:r>
            <w:r>
              <w:rPr>
                <w:sz w:val="28"/>
              </w:rPr>
              <w:t xml:space="preserve"> </w:t>
            </w:r>
          </w:p>
          <w:p w14:paraId="C6000000">
            <w:pPr>
              <w:ind/>
              <w:jc w:val="both"/>
              <w:rPr>
                <w:sz w:val="28"/>
              </w:rPr>
            </w:pPr>
            <w:r>
              <w:rPr>
                <w:sz w:val="28"/>
              </w:rPr>
              <w:t>о</w:t>
            </w:r>
            <w:r>
              <w:rPr>
                <w:sz w:val="28"/>
              </w:rPr>
              <w:t>существл</w:t>
            </w:r>
            <w:r>
              <w:rPr>
                <w:sz w:val="28"/>
              </w:rPr>
              <w:t>ять контроль  (надзор)</w:t>
            </w:r>
            <w:r>
              <w:rPr>
                <w:sz w:val="28"/>
              </w:rPr>
              <w:t xml:space="preserve"> за состоянием, содержанием, сохранением, использованием и популяри</w:t>
            </w:r>
            <w:r>
              <w:rPr>
                <w:b w:val="1"/>
                <w:sz w:val="28"/>
              </w:rPr>
              <w:t>з</w:t>
            </w:r>
            <w:r>
              <w:rPr>
                <w:sz w:val="28"/>
              </w:rPr>
              <w:t>ацией объектов культурного наследия</w:t>
            </w:r>
          </w:p>
        </w:tc>
      </w:tr>
      <w:tr>
        <w:tc>
          <w:tcPr>
            <w:tcW w:type="dxa" w:w="959"/>
            <w:tcBorders>
              <w:top w:color="000000" w:sz="4" w:val="single"/>
              <w:left w:color="000000" w:sz="4" w:val="single"/>
              <w:bottom w:color="000000" w:sz="4" w:val="single"/>
              <w:right w:color="000000" w:sz="4" w:val="single"/>
            </w:tcBorders>
          </w:tcPr>
          <w:p w14:paraId="C7000000">
            <w:pPr>
              <w:numPr>
                <w:ilvl w:val="0"/>
                <w:numId w:val="1"/>
              </w:numPr>
              <w:spacing w:after="200" w:before="60" w:line="276" w:lineRule="auto"/>
              <w:ind/>
              <w:contextualSpacing w:val="1"/>
              <w:jc w:val="center"/>
              <w:rPr>
                <w:sz w:val="28"/>
              </w:rPr>
            </w:pPr>
          </w:p>
        </w:tc>
        <w:tc>
          <w:tcPr>
            <w:tcW w:type="dxa" w:w="3827"/>
            <w:tcBorders>
              <w:top w:color="000000" w:sz="4" w:val="single"/>
              <w:left w:color="000000" w:sz="4" w:val="single"/>
              <w:bottom w:color="000000" w:sz="4" w:val="single"/>
              <w:right w:color="000000" w:sz="4" w:val="single"/>
            </w:tcBorders>
          </w:tcPr>
          <w:p w14:paraId="C8000000">
            <w:pPr>
              <w:spacing w:after="60" w:before="60" w:line="276" w:lineRule="auto"/>
              <w:ind/>
              <w:contextualSpacing w:val="1"/>
              <w:jc w:val="both"/>
              <w:rPr>
                <w:sz w:val="28"/>
              </w:rPr>
            </w:pPr>
            <w:r>
              <w:rPr>
                <w:sz w:val="28"/>
              </w:rPr>
              <w:t>Обобщение правоприменительной практики</w:t>
            </w:r>
          </w:p>
          <w:p w14:paraId="C9000000">
            <w:pPr>
              <w:spacing w:after="60" w:before="60" w:line="276" w:lineRule="auto"/>
              <w:ind/>
              <w:contextualSpacing w:val="1"/>
              <w:jc w:val="both"/>
              <w:rPr>
                <w:sz w:val="28"/>
              </w:rPr>
            </w:pPr>
          </w:p>
        </w:tc>
        <w:tc>
          <w:tcPr>
            <w:tcW w:type="dxa" w:w="5812"/>
            <w:tcBorders>
              <w:top w:color="000000" w:sz="4" w:val="single"/>
              <w:left w:color="000000" w:sz="4" w:val="single"/>
              <w:bottom w:color="000000" w:sz="4" w:val="single"/>
              <w:right w:color="000000" w:sz="4" w:val="single"/>
            </w:tcBorders>
          </w:tcPr>
          <w:p w14:paraId="CA000000">
            <w:pPr>
              <w:spacing w:after="60" w:before="60" w:line="276" w:lineRule="auto"/>
              <w:ind/>
              <w:contextualSpacing w:val="1"/>
              <w:jc w:val="both"/>
              <w:rPr>
                <w:sz w:val="28"/>
              </w:rPr>
            </w:pPr>
            <w:r>
              <w:rPr>
                <w:sz w:val="28"/>
              </w:rPr>
              <w:t xml:space="preserve">Срок подготовки доклада и размещение на официальном интернет-сайте Комитета - не позднее 1 февраля года, следующего за </w:t>
            </w:r>
            <w:r>
              <w:rPr>
                <w:sz w:val="28"/>
              </w:rPr>
              <w:t>отчетным</w:t>
            </w:r>
            <w:r>
              <w:rPr>
                <w:sz w:val="28"/>
              </w:rPr>
              <w:t xml:space="preserve"> периодом.</w:t>
            </w:r>
          </w:p>
        </w:tc>
        <w:tc>
          <w:tcPr>
            <w:tcW w:type="dxa" w:w="4252"/>
            <w:tcBorders>
              <w:top w:color="000000" w:sz="4" w:val="single"/>
              <w:left w:color="000000" w:sz="4" w:val="single"/>
              <w:bottom w:color="000000" w:sz="4" w:val="single"/>
              <w:right w:color="000000" w:sz="4" w:val="single"/>
            </w:tcBorders>
          </w:tcPr>
          <w:p w14:paraId="CB000000">
            <w:pPr>
              <w:ind/>
              <w:jc w:val="both"/>
              <w:rPr>
                <w:sz w:val="28"/>
              </w:rPr>
            </w:pPr>
            <w:r>
              <w:rPr>
                <w:sz w:val="28"/>
              </w:rPr>
              <w:t>Специалист уполномоченный</w:t>
            </w:r>
            <w:r>
              <w:rPr>
                <w:sz w:val="28"/>
              </w:rPr>
              <w:t xml:space="preserve"> </w:t>
            </w:r>
          </w:p>
          <w:p w14:paraId="CC000000">
            <w:pPr>
              <w:spacing w:after="200" w:before="60" w:line="276" w:lineRule="auto"/>
              <w:ind/>
              <w:contextualSpacing w:val="1"/>
              <w:jc w:val="both"/>
              <w:rPr>
                <w:sz w:val="28"/>
              </w:rPr>
            </w:pPr>
            <w:r>
              <w:rPr>
                <w:sz w:val="28"/>
              </w:rPr>
              <w:t>о</w:t>
            </w:r>
            <w:r>
              <w:rPr>
                <w:sz w:val="28"/>
              </w:rPr>
              <w:t>существл</w:t>
            </w:r>
            <w:r>
              <w:rPr>
                <w:sz w:val="28"/>
              </w:rPr>
              <w:t>ять контроль  (надзор)</w:t>
            </w:r>
            <w:r>
              <w:rPr>
                <w:sz w:val="28"/>
              </w:rPr>
              <w:t xml:space="preserve"> за состоянием, содержанием, </w:t>
            </w:r>
            <w:r>
              <w:rPr>
                <w:sz w:val="28"/>
              </w:rPr>
              <w:t>сохранением, использованием и популяри</w:t>
            </w:r>
            <w:r>
              <w:rPr>
                <w:b w:val="1"/>
                <w:sz w:val="28"/>
              </w:rPr>
              <w:t>з</w:t>
            </w:r>
            <w:r>
              <w:rPr>
                <w:sz w:val="28"/>
              </w:rPr>
              <w:t>ацией объектов культурного наследия</w:t>
            </w:r>
          </w:p>
        </w:tc>
      </w:tr>
      <w:tr>
        <w:tc>
          <w:tcPr>
            <w:tcW w:type="dxa" w:w="959"/>
            <w:tcBorders>
              <w:top w:color="000000" w:sz="4" w:val="single"/>
              <w:left w:color="000000" w:sz="4" w:val="single"/>
              <w:bottom w:color="000000" w:sz="4" w:val="single"/>
              <w:right w:color="000000" w:sz="4" w:val="single"/>
            </w:tcBorders>
          </w:tcPr>
          <w:p w14:paraId="CD000000">
            <w:pPr>
              <w:spacing w:after="200" w:before="60" w:line="276" w:lineRule="auto"/>
              <w:ind/>
              <w:jc w:val="center"/>
              <w:rPr>
                <w:sz w:val="28"/>
              </w:rPr>
            </w:pPr>
            <w:r>
              <w:rPr>
                <w:sz w:val="28"/>
              </w:rPr>
              <w:t>3.</w:t>
            </w:r>
          </w:p>
        </w:tc>
        <w:tc>
          <w:tcPr>
            <w:tcW w:type="dxa" w:w="3827"/>
            <w:tcBorders>
              <w:top w:color="000000" w:sz="4" w:val="single"/>
              <w:left w:color="000000" w:sz="4" w:val="single"/>
              <w:bottom w:color="000000" w:sz="4" w:val="single"/>
              <w:right w:color="000000" w:sz="4" w:val="single"/>
            </w:tcBorders>
          </w:tcPr>
          <w:p w14:paraId="CE000000">
            <w:pPr>
              <w:spacing w:after="60" w:before="60" w:line="276" w:lineRule="auto"/>
              <w:ind/>
              <w:contextualSpacing w:val="1"/>
              <w:jc w:val="both"/>
              <w:rPr>
                <w:sz w:val="28"/>
              </w:rPr>
            </w:pPr>
            <w:r>
              <w:rPr>
                <w:sz w:val="28"/>
              </w:rPr>
              <w:t>Объявление предостережения</w:t>
            </w:r>
          </w:p>
        </w:tc>
        <w:tc>
          <w:tcPr>
            <w:tcW w:type="dxa" w:w="5812"/>
            <w:tcBorders>
              <w:top w:color="000000" w:sz="4" w:val="single"/>
              <w:left w:color="000000" w:sz="4" w:val="single"/>
              <w:bottom w:color="000000" w:sz="4" w:val="single"/>
              <w:right w:color="000000" w:sz="4" w:val="single"/>
            </w:tcBorders>
            <w:shd w:fill="auto" w:val="clear"/>
          </w:tcPr>
          <w:p w14:paraId="CF000000">
            <w:pPr>
              <w:spacing w:after="60" w:before="60" w:line="276" w:lineRule="auto"/>
              <w:ind/>
              <w:contextualSpacing w:val="1"/>
              <w:jc w:val="both"/>
              <w:rPr>
                <w:sz w:val="28"/>
              </w:rPr>
            </w:pPr>
            <w:r>
              <w:rPr>
                <w:spacing w:val="-2"/>
                <w:sz w:val="28"/>
              </w:rPr>
              <w:t>не позднее 30 дней со дня получения сведений, указанных в части 1</w:t>
            </w:r>
            <w:r>
              <w:rPr>
                <w:spacing w:val="-2"/>
                <w:sz w:val="28"/>
              </w:rPr>
              <w:t xml:space="preserve"> </w:t>
            </w:r>
            <w:r>
              <w:rPr>
                <w:spacing w:val="-2"/>
                <w:sz w:val="28"/>
              </w:rPr>
              <w:t>статьи 49 Федерального закона «О государственном контроле (надзоре) и муниципальном контроле в Российской Федерации»</w:t>
            </w:r>
          </w:p>
        </w:tc>
        <w:tc>
          <w:tcPr>
            <w:tcW w:type="dxa" w:w="4252"/>
            <w:tcBorders>
              <w:top w:color="000000" w:sz="4" w:val="single"/>
              <w:left w:color="000000" w:sz="4" w:val="single"/>
              <w:bottom w:color="000000" w:sz="4" w:val="single"/>
              <w:right w:color="000000" w:sz="4" w:val="single"/>
            </w:tcBorders>
          </w:tcPr>
          <w:p w14:paraId="D0000000">
            <w:pPr>
              <w:ind/>
              <w:jc w:val="both"/>
              <w:rPr>
                <w:sz w:val="28"/>
              </w:rPr>
            </w:pPr>
            <w:r>
              <w:rPr>
                <w:sz w:val="28"/>
              </w:rPr>
              <w:t>Специалист уполномоченный</w:t>
            </w:r>
            <w:r>
              <w:rPr>
                <w:sz w:val="28"/>
              </w:rPr>
              <w:t xml:space="preserve"> </w:t>
            </w:r>
          </w:p>
          <w:p w14:paraId="D1000000">
            <w:pPr>
              <w:ind/>
              <w:jc w:val="both"/>
              <w:rPr>
                <w:color w:val="FF0000"/>
                <w:sz w:val="28"/>
              </w:rPr>
            </w:pPr>
            <w:r>
              <w:rPr>
                <w:sz w:val="28"/>
              </w:rPr>
              <w:t>о</w:t>
            </w:r>
            <w:r>
              <w:rPr>
                <w:sz w:val="28"/>
              </w:rPr>
              <w:t>существл</w:t>
            </w:r>
            <w:r>
              <w:rPr>
                <w:sz w:val="28"/>
              </w:rPr>
              <w:t>ять контроль  (надзор)</w:t>
            </w:r>
            <w:r>
              <w:rPr>
                <w:sz w:val="28"/>
              </w:rPr>
              <w:t xml:space="preserve"> за состоянием, содержанием, сохранением, использованием и популяри</w:t>
            </w:r>
            <w:r>
              <w:rPr>
                <w:b w:val="1"/>
                <w:sz w:val="28"/>
              </w:rPr>
              <w:t>з</w:t>
            </w:r>
            <w:r>
              <w:rPr>
                <w:sz w:val="28"/>
              </w:rPr>
              <w:t>ацией объектов культурного наследия</w:t>
            </w:r>
          </w:p>
        </w:tc>
      </w:tr>
      <w:tr>
        <w:tc>
          <w:tcPr>
            <w:tcW w:type="dxa" w:w="959"/>
            <w:tcBorders>
              <w:top w:color="000000" w:sz="4" w:val="single"/>
              <w:left w:color="000000" w:sz="4" w:val="single"/>
              <w:bottom w:color="000000" w:sz="4" w:val="single"/>
              <w:right w:color="000000" w:sz="4" w:val="single"/>
            </w:tcBorders>
          </w:tcPr>
          <w:p w14:paraId="D2000000">
            <w:pPr>
              <w:spacing w:after="200" w:before="60" w:line="276" w:lineRule="auto"/>
              <w:ind/>
              <w:jc w:val="center"/>
              <w:rPr>
                <w:sz w:val="28"/>
              </w:rPr>
            </w:pPr>
            <w:r>
              <w:rPr>
                <w:sz w:val="28"/>
              </w:rPr>
              <w:t>4.</w:t>
            </w:r>
          </w:p>
        </w:tc>
        <w:tc>
          <w:tcPr>
            <w:tcW w:type="dxa" w:w="3827"/>
            <w:tcBorders>
              <w:top w:color="000000" w:sz="4" w:val="single"/>
              <w:left w:color="000000" w:sz="4" w:val="single"/>
              <w:bottom w:color="000000" w:sz="4" w:val="single"/>
              <w:right w:color="000000" w:sz="4" w:val="single"/>
            </w:tcBorders>
          </w:tcPr>
          <w:p w14:paraId="D3000000">
            <w:pPr>
              <w:spacing w:after="60" w:before="60" w:line="276" w:lineRule="auto"/>
              <w:ind/>
              <w:contextualSpacing w:val="1"/>
              <w:jc w:val="both"/>
              <w:rPr>
                <w:sz w:val="28"/>
              </w:rPr>
            </w:pPr>
            <w:r>
              <w:rPr>
                <w:sz w:val="28"/>
              </w:rPr>
              <w:t>Консультирование:</w:t>
            </w:r>
          </w:p>
          <w:p w14:paraId="D4000000">
            <w:pPr>
              <w:spacing w:after="60" w:before="60" w:line="276" w:lineRule="auto"/>
              <w:ind/>
              <w:contextualSpacing w:val="1"/>
              <w:jc w:val="both"/>
              <w:rPr>
                <w:sz w:val="28"/>
              </w:rPr>
            </w:pPr>
            <w:r>
              <w:rPr>
                <w:sz w:val="28"/>
              </w:rPr>
              <w:t>- по телефону;</w:t>
            </w:r>
          </w:p>
          <w:p w14:paraId="D5000000">
            <w:pPr>
              <w:spacing w:after="60" w:before="60" w:line="276" w:lineRule="auto"/>
              <w:ind/>
              <w:contextualSpacing w:val="1"/>
              <w:jc w:val="both"/>
              <w:rPr>
                <w:sz w:val="28"/>
              </w:rPr>
            </w:pPr>
            <w:r>
              <w:rPr>
                <w:sz w:val="28"/>
              </w:rPr>
              <w:t>-</w:t>
            </w:r>
            <w:r>
              <w:rPr>
                <w:sz w:val="28"/>
              </w:rPr>
              <w:t xml:space="preserve"> на личном приеме;</w:t>
            </w:r>
          </w:p>
          <w:p w14:paraId="D6000000">
            <w:pPr>
              <w:spacing w:after="60" w:before="60" w:line="276" w:lineRule="auto"/>
              <w:ind/>
              <w:contextualSpacing w:val="1"/>
              <w:jc w:val="both"/>
              <w:rPr>
                <w:sz w:val="28"/>
              </w:rPr>
            </w:pPr>
            <w:r>
              <w:rPr>
                <w:sz w:val="28"/>
              </w:rPr>
              <w:t>- в письменной форме;</w:t>
            </w:r>
          </w:p>
          <w:p w14:paraId="D7000000">
            <w:pPr>
              <w:spacing w:after="60" w:before="60" w:line="276" w:lineRule="auto"/>
              <w:ind/>
              <w:contextualSpacing w:val="1"/>
              <w:jc w:val="both"/>
              <w:rPr>
                <w:sz w:val="28"/>
              </w:rPr>
            </w:pPr>
            <w:r>
              <w:rPr>
                <w:sz w:val="28"/>
              </w:rPr>
              <w:t>- в ходе проведения профилактического мероприятия, контрольного мероприятия</w:t>
            </w:r>
          </w:p>
          <w:p w14:paraId="D8000000">
            <w:pPr>
              <w:spacing w:after="60" w:before="60" w:line="276" w:lineRule="auto"/>
              <w:ind/>
              <w:contextualSpacing w:val="1"/>
              <w:jc w:val="both"/>
              <w:rPr>
                <w:sz w:val="28"/>
              </w:rPr>
            </w:pPr>
            <w:r>
              <w:rPr>
                <w:sz w:val="28"/>
              </w:rPr>
              <w:t>Консультирование осуществляется по следующим вопросам:</w:t>
            </w:r>
          </w:p>
          <w:p w14:paraId="D9000000">
            <w:pPr>
              <w:spacing w:after="60" w:before="60" w:line="276" w:lineRule="auto"/>
              <w:ind/>
              <w:contextualSpacing w:val="1"/>
              <w:jc w:val="both"/>
              <w:rPr>
                <w:sz w:val="28"/>
              </w:rPr>
            </w:pPr>
            <w:r>
              <w:rPr>
                <w:sz w:val="28"/>
              </w:rPr>
              <w:t xml:space="preserve">1) наличие и (или) </w:t>
            </w:r>
            <w:r>
              <w:rPr>
                <w:sz w:val="28"/>
              </w:rPr>
              <w:t>содержание обязательных требований;</w:t>
            </w:r>
          </w:p>
          <w:p w14:paraId="DA000000">
            <w:pPr>
              <w:spacing w:after="60" w:before="60" w:line="276" w:lineRule="auto"/>
              <w:ind/>
              <w:contextualSpacing w:val="1"/>
              <w:jc w:val="both"/>
              <w:rPr>
                <w:sz w:val="28"/>
              </w:rPr>
            </w:pPr>
            <w:r>
              <w:rPr>
                <w:sz w:val="28"/>
              </w:rPr>
              <w:t>2) периодичность и порядок проведения контрольных (надзорных) мероприятий;</w:t>
            </w:r>
          </w:p>
          <w:p w14:paraId="DB000000">
            <w:pPr>
              <w:spacing w:after="60" w:before="60" w:line="276" w:lineRule="auto"/>
              <w:ind/>
              <w:contextualSpacing w:val="1"/>
              <w:jc w:val="both"/>
              <w:rPr>
                <w:sz w:val="28"/>
              </w:rPr>
            </w:pPr>
            <w:r>
              <w:rPr>
                <w:sz w:val="28"/>
              </w:rPr>
              <w:t>3) порядок выполнения обязательных требований.</w:t>
            </w:r>
          </w:p>
        </w:tc>
        <w:tc>
          <w:tcPr>
            <w:tcW w:type="dxa" w:w="5812"/>
            <w:tcBorders>
              <w:top w:color="000000" w:sz="4" w:val="single"/>
              <w:left w:color="000000" w:sz="4" w:val="single"/>
              <w:bottom w:color="000000" w:sz="4" w:val="single"/>
              <w:right w:color="000000" w:sz="4" w:val="single"/>
            </w:tcBorders>
          </w:tcPr>
          <w:p w14:paraId="DC000000">
            <w:pPr>
              <w:spacing w:after="200" w:before="60" w:line="276" w:lineRule="auto"/>
              <w:ind/>
              <w:contextualSpacing w:val="1"/>
              <w:jc w:val="both"/>
              <w:rPr>
                <w:sz w:val="28"/>
              </w:rPr>
            </w:pPr>
            <w:r>
              <w:rPr>
                <w:sz w:val="28"/>
              </w:rPr>
              <w:t>ежедневно, кроме выходных и праздничных дней с 10:00 до 16:00, перерыв с 1</w:t>
            </w:r>
            <w:r>
              <w:rPr>
                <w:sz w:val="28"/>
              </w:rPr>
              <w:t>3:0</w:t>
            </w:r>
            <w:r>
              <w:rPr>
                <w:sz w:val="28"/>
              </w:rPr>
              <w:t>0 до 1</w:t>
            </w:r>
            <w:r>
              <w:rPr>
                <w:sz w:val="28"/>
              </w:rPr>
              <w:t>4</w:t>
            </w:r>
            <w:r>
              <w:rPr>
                <w:sz w:val="28"/>
              </w:rPr>
              <w:t>:30</w:t>
            </w:r>
            <w:r>
              <w:rPr>
                <w:sz w:val="28"/>
              </w:rPr>
              <w:t>.Часы работы с 9:</w:t>
            </w:r>
            <w:r>
              <w:rPr>
                <w:sz w:val="28"/>
              </w:rPr>
              <w:t xml:space="preserve">00 </w:t>
            </w:r>
            <w:r>
              <w:rPr>
                <w:sz w:val="28"/>
              </w:rPr>
              <w:t>до 17:45</w:t>
            </w:r>
            <w:r>
              <w:rPr>
                <w:sz w:val="28"/>
              </w:rPr>
              <w:t>.</w:t>
            </w:r>
          </w:p>
        </w:tc>
        <w:tc>
          <w:tcPr>
            <w:tcW w:type="dxa" w:w="4252"/>
            <w:tcBorders>
              <w:top w:color="000000" w:sz="4" w:val="single"/>
              <w:left w:color="000000" w:sz="4" w:val="single"/>
              <w:bottom w:color="000000" w:sz="4" w:val="single"/>
              <w:right w:color="000000" w:sz="4" w:val="single"/>
            </w:tcBorders>
          </w:tcPr>
          <w:p w14:paraId="DD000000">
            <w:pPr>
              <w:ind/>
              <w:jc w:val="both"/>
              <w:rPr>
                <w:sz w:val="28"/>
              </w:rPr>
            </w:pPr>
            <w:r>
              <w:rPr>
                <w:sz w:val="28"/>
              </w:rPr>
              <w:t>Специалист уполномоченный</w:t>
            </w:r>
            <w:r>
              <w:rPr>
                <w:sz w:val="28"/>
              </w:rPr>
              <w:t xml:space="preserve"> </w:t>
            </w:r>
          </w:p>
          <w:p w14:paraId="DE000000">
            <w:pPr>
              <w:widowControl w:val="0"/>
              <w:ind/>
              <w:jc w:val="both"/>
              <w:rPr>
                <w:sz w:val="28"/>
              </w:rPr>
            </w:pPr>
            <w:r>
              <w:rPr>
                <w:sz w:val="28"/>
              </w:rPr>
              <w:t>о</w:t>
            </w:r>
            <w:r>
              <w:rPr>
                <w:sz w:val="28"/>
              </w:rPr>
              <w:t>существл</w:t>
            </w:r>
            <w:r>
              <w:rPr>
                <w:sz w:val="28"/>
              </w:rPr>
              <w:t>ять контроль  (надзор)</w:t>
            </w:r>
            <w:r>
              <w:rPr>
                <w:sz w:val="28"/>
              </w:rPr>
              <w:t xml:space="preserve"> за состоянием, содержанием, сохранением, использованием и популяри</w:t>
            </w:r>
            <w:r>
              <w:rPr>
                <w:b w:val="1"/>
                <w:sz w:val="28"/>
              </w:rPr>
              <w:t>з</w:t>
            </w:r>
            <w:r>
              <w:rPr>
                <w:sz w:val="28"/>
              </w:rPr>
              <w:t>ацией объектов культурного наследия</w:t>
            </w:r>
          </w:p>
        </w:tc>
      </w:tr>
      <w:tr>
        <w:tc>
          <w:tcPr>
            <w:tcW w:type="dxa" w:w="959"/>
            <w:tcBorders>
              <w:top w:color="000000" w:sz="4" w:val="single"/>
              <w:left w:color="000000" w:sz="4" w:val="single"/>
              <w:bottom w:color="000000" w:sz="4" w:val="single"/>
              <w:right w:color="000000" w:sz="4" w:val="single"/>
            </w:tcBorders>
          </w:tcPr>
          <w:p w14:paraId="DF000000">
            <w:pPr>
              <w:spacing w:after="200" w:before="60" w:line="276" w:lineRule="auto"/>
              <w:ind/>
              <w:jc w:val="center"/>
              <w:rPr>
                <w:sz w:val="28"/>
              </w:rPr>
            </w:pPr>
            <w:r>
              <w:rPr>
                <w:sz w:val="28"/>
              </w:rPr>
              <w:t>5.</w:t>
            </w:r>
          </w:p>
        </w:tc>
        <w:tc>
          <w:tcPr>
            <w:tcW w:type="dxa" w:w="3827"/>
            <w:tcBorders>
              <w:top w:color="000000" w:sz="4" w:val="single"/>
              <w:left w:color="000000" w:sz="4" w:val="single"/>
              <w:bottom w:color="000000" w:sz="4" w:val="single"/>
              <w:right w:color="000000" w:sz="4" w:val="single"/>
            </w:tcBorders>
          </w:tcPr>
          <w:p w14:paraId="E0000000">
            <w:pPr>
              <w:spacing w:after="60" w:before="60" w:line="276" w:lineRule="auto"/>
              <w:ind/>
              <w:contextualSpacing w:val="1"/>
              <w:jc w:val="both"/>
              <w:rPr>
                <w:sz w:val="28"/>
              </w:rPr>
            </w:pPr>
            <w:r>
              <w:rPr>
                <w:sz w:val="28"/>
              </w:rPr>
              <w:t>Профилактический визит.</w:t>
            </w:r>
          </w:p>
          <w:p w14:paraId="E1000000">
            <w:pPr>
              <w:spacing w:after="60" w:before="60" w:line="276" w:lineRule="auto"/>
              <w:ind/>
              <w:contextualSpacing w:val="1"/>
              <w:jc w:val="both"/>
              <w:rPr>
                <w:sz w:val="28"/>
              </w:rPr>
            </w:pPr>
            <w:r>
              <w:rPr>
                <w:color w:val="010101"/>
                <w:sz w:val="28"/>
                <w:highlight w:val="white"/>
              </w:rPr>
              <w:t>Проводится должностным лицом Комитета в форме профилактической беседы по месту осуществления деятельности подконтрольного субъекта либо путем использования видео-конференц-связи.</w:t>
            </w:r>
          </w:p>
        </w:tc>
        <w:tc>
          <w:tcPr>
            <w:tcW w:type="dxa" w:w="5812"/>
            <w:tcBorders>
              <w:top w:color="000000" w:sz="4" w:val="single"/>
              <w:left w:color="000000" w:sz="4" w:val="single"/>
              <w:bottom w:color="000000" w:sz="4" w:val="single"/>
              <w:right w:color="000000" w:sz="4" w:val="single"/>
            </w:tcBorders>
          </w:tcPr>
          <w:p w14:paraId="E2000000">
            <w:pPr>
              <w:spacing w:after="200" w:before="60" w:line="276" w:lineRule="auto"/>
              <w:ind/>
              <w:contextualSpacing w:val="1"/>
              <w:jc w:val="both"/>
              <w:rPr>
                <w:sz w:val="28"/>
              </w:rPr>
            </w:pPr>
            <w:r>
              <w:rPr>
                <w:sz w:val="28"/>
              </w:rPr>
              <w:t>Ежеквартально</w:t>
            </w:r>
          </w:p>
        </w:tc>
        <w:tc>
          <w:tcPr>
            <w:tcW w:type="dxa" w:w="4252"/>
            <w:tcBorders>
              <w:top w:color="000000" w:sz="4" w:val="single"/>
              <w:left w:color="000000" w:sz="4" w:val="single"/>
              <w:bottom w:color="000000" w:sz="4" w:val="single"/>
              <w:right w:color="000000" w:sz="4" w:val="single"/>
            </w:tcBorders>
          </w:tcPr>
          <w:p w14:paraId="E3000000">
            <w:pPr>
              <w:ind/>
              <w:jc w:val="both"/>
              <w:rPr>
                <w:sz w:val="28"/>
              </w:rPr>
            </w:pPr>
            <w:r>
              <w:rPr>
                <w:sz w:val="28"/>
              </w:rPr>
              <w:t>Специалист уполномоченный</w:t>
            </w:r>
            <w:r>
              <w:rPr>
                <w:sz w:val="28"/>
              </w:rPr>
              <w:t xml:space="preserve"> </w:t>
            </w:r>
          </w:p>
          <w:p w14:paraId="E4000000">
            <w:pPr>
              <w:ind/>
              <w:jc w:val="both"/>
              <w:rPr>
                <w:sz w:val="28"/>
              </w:rPr>
            </w:pPr>
            <w:r>
              <w:rPr>
                <w:sz w:val="28"/>
              </w:rPr>
              <w:t>о</w:t>
            </w:r>
            <w:r>
              <w:rPr>
                <w:sz w:val="28"/>
              </w:rPr>
              <w:t>существл</w:t>
            </w:r>
            <w:r>
              <w:rPr>
                <w:sz w:val="28"/>
              </w:rPr>
              <w:t>ять контроль  (надзор)</w:t>
            </w:r>
            <w:r>
              <w:rPr>
                <w:sz w:val="28"/>
              </w:rPr>
              <w:t xml:space="preserve"> за состоянием, содержанием, сохранением, использованием и популяри</w:t>
            </w:r>
            <w:r>
              <w:rPr>
                <w:b w:val="1"/>
                <w:sz w:val="28"/>
              </w:rPr>
              <w:t>з</w:t>
            </w:r>
            <w:r>
              <w:rPr>
                <w:sz w:val="28"/>
              </w:rPr>
              <w:t>ацией объектов культурного наследия</w:t>
            </w:r>
          </w:p>
        </w:tc>
      </w:tr>
    </w:tbl>
    <w:p w14:paraId="E5000000">
      <w:pPr>
        <w:rPr>
          <w:sz w:val="28"/>
        </w:rPr>
      </w:pPr>
    </w:p>
    <w:p w14:paraId="E6000000"/>
    <w:p w14:paraId="E7000000">
      <w:pPr>
        <w:ind/>
        <w:jc w:val="right"/>
      </w:pPr>
    </w:p>
    <w:p w14:paraId="E8000000">
      <w:pPr>
        <w:sectPr>
          <w:pgSz w:h="11907" w:orient="landscape" w:w="16840"/>
          <w:pgMar w:bottom="1701" w:footer="680" w:gutter="0" w:header="680" w:left="1134" w:right="1134" w:top="851"/>
          <w:pgNumType w:start="1"/>
          <w:titlePg/>
        </w:sectPr>
      </w:pPr>
    </w:p>
    <w:p w14:paraId="E9000000">
      <w:pPr>
        <w:ind/>
        <w:jc w:val="right"/>
      </w:pPr>
    </w:p>
    <w:p w14:paraId="EA000000">
      <w:pPr>
        <w:ind/>
        <w:jc w:val="right"/>
        <w:rPr>
          <w:sz w:val="28"/>
        </w:rPr>
      </w:pPr>
      <w:r>
        <w:rPr>
          <w:sz w:val="28"/>
        </w:rPr>
        <w:t xml:space="preserve">Приложение 2 </w:t>
      </w:r>
    </w:p>
    <w:p w14:paraId="EB000000">
      <w:pPr>
        <w:ind/>
        <w:jc w:val="right"/>
        <w:rPr>
          <w:sz w:val="28"/>
        </w:rPr>
      </w:pPr>
      <w:r>
        <w:rPr>
          <w:sz w:val="28"/>
        </w:rPr>
        <w:t xml:space="preserve">к Приказу Комитета по охране объектов </w:t>
      </w:r>
    </w:p>
    <w:p w14:paraId="EC000000">
      <w:pPr>
        <w:ind/>
        <w:jc w:val="right"/>
        <w:rPr>
          <w:sz w:val="28"/>
        </w:rPr>
      </w:pPr>
      <w:r>
        <w:rPr>
          <w:sz w:val="28"/>
        </w:rPr>
        <w:t xml:space="preserve">культурного наследия </w:t>
      </w:r>
    </w:p>
    <w:p w14:paraId="ED000000">
      <w:pPr>
        <w:ind/>
        <w:jc w:val="right"/>
        <w:rPr>
          <w:sz w:val="28"/>
        </w:rPr>
      </w:pPr>
      <w:r>
        <w:rPr>
          <w:sz w:val="28"/>
        </w:rPr>
        <w:t>Чукотского автономного округа</w:t>
      </w:r>
    </w:p>
    <w:p w14:paraId="EE000000">
      <w:pPr>
        <w:ind/>
        <w:jc w:val="right"/>
        <w:rPr>
          <w:sz w:val="28"/>
        </w:rPr>
      </w:pPr>
      <w:r>
        <w:rPr>
          <w:sz w:val="28"/>
        </w:rPr>
        <w:t>«___»_______202</w:t>
      </w:r>
      <w:r>
        <w:rPr>
          <w:sz w:val="28"/>
        </w:rPr>
        <w:t>4</w:t>
      </w:r>
      <w:r>
        <w:rPr>
          <w:sz w:val="28"/>
        </w:rPr>
        <w:t xml:space="preserve"> №02-01/0</w:t>
      </w:r>
      <w:r>
        <w:rPr>
          <w:sz w:val="28"/>
        </w:rPr>
        <w:t>00</w:t>
      </w:r>
    </w:p>
    <w:p w14:paraId="EF000000"/>
    <w:p w14:paraId="F0000000"/>
    <w:p w14:paraId="F1000000"/>
    <w:p w14:paraId="F2000000">
      <w:pPr>
        <w:ind/>
        <w:jc w:val="center"/>
        <w:rPr>
          <w:b w:val="1"/>
          <w:color w:val="000000"/>
          <w:sz w:val="28"/>
        </w:rPr>
      </w:pPr>
      <w:r>
        <w:rPr>
          <w:b w:val="1"/>
          <w:color w:val="000000"/>
          <w:sz w:val="28"/>
        </w:rPr>
        <w:t>Программа</w:t>
      </w:r>
    </w:p>
    <w:p w14:paraId="F3000000">
      <w:pPr>
        <w:ind/>
        <w:jc w:val="center"/>
        <w:rPr>
          <w:b w:val="1"/>
          <w:color w:val="000000"/>
          <w:sz w:val="28"/>
        </w:rPr>
      </w:pPr>
      <w:r>
        <w:rPr>
          <w:b w:val="1"/>
          <w:color w:val="000000"/>
          <w:sz w:val="28"/>
        </w:rPr>
        <w:t>профилактики рисков причинения вреда (ущерба) охраняемым законом ценностям при осуществлении регионального государственного контроля (надзора) за</w:t>
      </w:r>
      <w:r>
        <w:rPr>
          <w:b w:val="1"/>
          <w:color w:val="000000"/>
          <w:sz w:val="28"/>
        </w:rPr>
        <w:t xml:space="preserve"> </w:t>
      </w:r>
      <w:r>
        <w:rPr>
          <w:b w:val="1"/>
          <w:color w:val="000000"/>
          <w:sz w:val="28"/>
        </w:rPr>
        <w:t>состоянием, содержанием, сохранением, использованием, популяризацией и государственной охраной объектов культурного наследия регионального, муниципального</w:t>
      </w:r>
      <w:r>
        <w:rPr>
          <w:b w:val="1"/>
          <w:color w:val="000000"/>
          <w:sz w:val="28"/>
        </w:rPr>
        <w:t xml:space="preserve"> </w:t>
      </w:r>
      <w:r>
        <w:rPr>
          <w:b w:val="1"/>
          <w:color w:val="000000"/>
          <w:sz w:val="28"/>
        </w:rPr>
        <w:t>(местного) значения, выявленных объектов культурного</w:t>
      </w:r>
    </w:p>
    <w:p w14:paraId="F4000000">
      <w:pPr>
        <w:ind/>
        <w:jc w:val="center"/>
        <w:rPr>
          <w:b w:val="1"/>
          <w:color w:val="000000"/>
          <w:sz w:val="28"/>
        </w:rPr>
      </w:pPr>
      <w:r>
        <w:rPr>
          <w:b w:val="1"/>
          <w:color w:val="000000"/>
          <w:sz w:val="28"/>
        </w:rPr>
        <w:t>наследия на территории Чукотского автономного округа на 202</w:t>
      </w:r>
      <w:r>
        <w:rPr>
          <w:b w:val="1"/>
          <w:color w:val="000000"/>
          <w:sz w:val="28"/>
        </w:rPr>
        <w:t>5</w:t>
      </w:r>
      <w:r>
        <w:rPr>
          <w:b w:val="1"/>
          <w:color w:val="000000"/>
          <w:sz w:val="28"/>
        </w:rPr>
        <w:t xml:space="preserve"> год</w:t>
      </w:r>
    </w:p>
    <w:p w14:paraId="F5000000">
      <w:pPr>
        <w:rPr>
          <w:rFonts w:ascii="PT Astra Serif" w:hAnsi="PT Astra Serif"/>
          <w:sz w:val="26"/>
        </w:rPr>
      </w:pPr>
    </w:p>
    <w:p w14:paraId="F6000000">
      <w:pPr>
        <w:pStyle w:val="Style_4"/>
        <w:spacing w:after="0" w:before="0"/>
        <w:ind w:firstLine="709" w:left="0"/>
        <w:jc w:val="both"/>
        <w:rPr>
          <w:rFonts w:ascii="PT Astra Serif" w:hAnsi="PT Astra Serif"/>
          <w:sz w:val="28"/>
        </w:rPr>
      </w:pPr>
      <w:r>
        <w:rPr>
          <w:color w:val="000000"/>
          <w:sz w:val="28"/>
        </w:rPr>
        <w:t xml:space="preserve">Настоящая программа профилактики </w:t>
      </w:r>
      <w:r>
        <w:rPr>
          <w:sz w:val="28"/>
        </w:rPr>
        <w:t xml:space="preserve">рисков причинения вреда (ущерба) охраняемым законом ценностям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муниципального (местного) значения, выявленных объектов культурного наследия на территории </w:t>
      </w:r>
      <w:r>
        <w:rPr>
          <w:sz w:val="28"/>
        </w:rPr>
        <w:t>Чукотского автономного</w:t>
      </w:r>
      <w:r>
        <w:rPr>
          <w:sz w:val="28"/>
        </w:rPr>
        <w:t xml:space="preserve"> на 202</w:t>
      </w:r>
      <w:r>
        <w:rPr>
          <w:sz w:val="28"/>
        </w:rPr>
        <w:t>5</w:t>
      </w:r>
      <w:r>
        <w:rPr>
          <w:sz w:val="28"/>
        </w:rPr>
        <w:t xml:space="preserve"> год </w:t>
      </w:r>
      <w:r>
        <w:rPr>
          <w:color w:val="000000"/>
          <w:sz w:val="28"/>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sz w:val="28"/>
        </w:rPr>
        <w:t xml:space="preserve">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муниципального значения, выявленных объектов культурного наследия на территории </w:t>
      </w:r>
      <w:r>
        <w:rPr>
          <w:sz w:val="28"/>
        </w:rPr>
        <w:t>Чукотского автономного</w:t>
      </w:r>
      <w:r>
        <w:rPr>
          <w:sz w:val="28"/>
        </w:rPr>
        <w:t xml:space="preserve"> </w:t>
      </w:r>
      <w:r>
        <w:rPr>
          <w:color w:val="000000"/>
          <w:sz w:val="28"/>
        </w:rPr>
        <w:t>(далее – региональный государственный контроль</w:t>
      </w:r>
      <w:r>
        <w:rPr>
          <w:rFonts w:ascii="PT Astra Serif" w:hAnsi="PT Astra Serif"/>
          <w:color w:val="000000"/>
          <w:sz w:val="28"/>
        </w:rPr>
        <w:t>).</w:t>
      </w:r>
    </w:p>
    <w:p w14:paraId="F7000000">
      <w:pPr>
        <w:ind w:firstLine="709" w:left="0"/>
        <w:jc w:val="both"/>
        <w:rPr>
          <w:sz w:val="28"/>
        </w:rPr>
      </w:pPr>
      <w:r>
        <w:rPr>
          <w:sz w:val="28"/>
        </w:rPr>
        <w:t>Правовые основания разработки программы:</w:t>
      </w:r>
    </w:p>
    <w:p w14:paraId="F8000000">
      <w:pPr>
        <w:ind w:firstLine="709" w:left="0"/>
        <w:jc w:val="both"/>
        <w:rPr>
          <w:sz w:val="28"/>
        </w:rPr>
      </w:pPr>
      <w:r>
        <w:rPr>
          <w:sz w:val="28"/>
        </w:rPr>
        <w:t xml:space="preserve">- Федеральный закон от 25.06.2002 </w:t>
      </w:r>
      <w:r>
        <w:rPr>
          <w:sz w:val="28"/>
        </w:rPr>
        <w:t>№</w:t>
      </w:r>
      <w:r>
        <w:rPr>
          <w:sz w:val="28"/>
        </w:rPr>
        <w:t xml:space="preserve"> 73-ФЗ «Об объектах культурного наследия (памятниках истории и культуры) народов Российской Федерации» (далее</w:t>
      </w:r>
      <w:r>
        <w:rPr>
          <w:sz w:val="28"/>
        </w:rPr>
        <w:t xml:space="preserve"> -</w:t>
      </w:r>
      <w:r>
        <w:rPr>
          <w:sz w:val="28"/>
        </w:rPr>
        <w:t xml:space="preserve"> Федеральный з</w:t>
      </w:r>
      <w:r>
        <w:rPr>
          <w:sz w:val="28"/>
        </w:rPr>
        <w:t>акон №</w:t>
      </w:r>
      <w:r>
        <w:rPr>
          <w:sz w:val="28"/>
        </w:rPr>
        <w:t xml:space="preserve"> 73-ФЗ);</w:t>
      </w:r>
    </w:p>
    <w:p w14:paraId="F9000000">
      <w:pPr>
        <w:ind w:firstLine="709" w:left="0"/>
        <w:jc w:val="both"/>
        <w:rPr>
          <w:rFonts w:ascii="PT Astra Serif" w:hAnsi="PT Astra Serif"/>
          <w:sz w:val="26"/>
        </w:rPr>
      </w:pPr>
      <w:r>
        <w:rPr>
          <w:sz w:val="28"/>
        </w:rPr>
        <w:t xml:space="preserve">- Федеральный закон от 31.07.2020 </w:t>
      </w:r>
      <w:r>
        <w:rPr>
          <w:sz w:val="28"/>
        </w:rPr>
        <w:t>№</w:t>
      </w:r>
      <w:r>
        <w:rPr>
          <w:sz w:val="28"/>
        </w:rPr>
        <w:t xml:space="preserve"> 248-ФЗ «О государственном контроле (надзоре) и муниципальном контроле в Российской Федерации»;</w:t>
      </w:r>
    </w:p>
    <w:p w14:paraId="FA000000">
      <w:pPr>
        <w:ind w:firstLine="709" w:left="0"/>
        <w:jc w:val="both"/>
        <w:rPr>
          <w:sz w:val="28"/>
        </w:rPr>
      </w:pPr>
      <w:r>
        <w:rPr>
          <w:sz w:val="28"/>
        </w:rPr>
        <w:t>-</w:t>
      </w:r>
      <w:r>
        <w:rPr>
          <w:sz w:val="28"/>
        </w:rPr>
        <w:t xml:space="preserve"> </w:t>
      </w:r>
      <w:r>
        <w:rPr>
          <w:sz w:val="28"/>
        </w:rPr>
        <w:t>Закон Чукотского автономного округа от 31.05.2010 № 50-ОЗ «О сохранении, использовании, популяризации и государственной охране объектов культурного наследия (памятников истории и культуры) в Чукотском автономном округе»;</w:t>
      </w:r>
    </w:p>
    <w:p w14:paraId="FB000000">
      <w:pPr>
        <w:ind w:firstLine="709" w:left="0"/>
        <w:jc w:val="both"/>
        <w:rPr>
          <w:sz w:val="28"/>
        </w:rPr>
      </w:pPr>
      <w:r>
        <w:rPr>
          <w:sz w:val="28"/>
        </w:rPr>
        <w:t xml:space="preserve">- </w:t>
      </w:r>
      <w:r>
        <w:rPr>
          <w:sz w:val="28"/>
        </w:rPr>
        <w:t>Об утверждении Положения о Комитете по охране объектов культурного наследия Чукотского автономного округ утвержденное постановлением Правительства Чукотского автономного округа от 21.12.2018 № 431</w:t>
      </w:r>
      <w:r>
        <w:rPr>
          <w:sz w:val="28"/>
        </w:rPr>
        <w:t>.</w:t>
      </w:r>
    </w:p>
    <w:p w14:paraId="FC000000">
      <w:pPr>
        <w:ind w:firstLine="706" w:left="0"/>
        <w:jc w:val="both"/>
        <w:rPr>
          <w:sz w:val="28"/>
        </w:rPr>
      </w:pPr>
      <w:r>
        <w:rPr>
          <w:sz w:val="28"/>
        </w:rPr>
        <w:t xml:space="preserve">Разработчик программы - </w:t>
      </w:r>
      <w:r>
        <w:rPr>
          <w:sz w:val="28"/>
        </w:rPr>
        <w:t xml:space="preserve">Комитет по охране объектов культурного наследия </w:t>
      </w:r>
      <w:r>
        <w:rPr>
          <w:sz w:val="28"/>
        </w:rPr>
        <w:t xml:space="preserve">Чукотского автономного округа </w:t>
      </w:r>
      <w:r>
        <w:rPr>
          <w:sz w:val="28"/>
        </w:rPr>
        <w:t>(далее – Комитет), исполнительный орган государственной власти</w:t>
      </w:r>
      <w:r>
        <w:rPr>
          <w:sz w:val="28"/>
        </w:rPr>
        <w:t xml:space="preserve"> Чукотского автономного округа</w:t>
      </w:r>
      <w:r>
        <w:rPr>
          <w:sz w:val="28"/>
        </w:rPr>
        <w:t xml:space="preserve">, уполномоченный на осуществление регионального государственного контроля на территории </w:t>
      </w:r>
      <w:r>
        <w:rPr>
          <w:sz w:val="28"/>
        </w:rPr>
        <w:t>Чукотского автономного округа.</w:t>
      </w:r>
    </w:p>
    <w:p w14:paraId="FD000000">
      <w:pPr>
        <w:ind w:firstLine="706" w:left="0"/>
        <w:jc w:val="both"/>
        <w:rPr>
          <w:sz w:val="28"/>
        </w:rPr>
      </w:pPr>
    </w:p>
    <w:p w14:paraId="FE000000">
      <w:pPr>
        <w:pStyle w:val="Style_4"/>
        <w:spacing w:after="0" w:before="0"/>
        <w:ind/>
        <w:jc w:val="center"/>
        <w:rPr>
          <w:b w:val="1"/>
          <w:sz w:val="28"/>
        </w:rPr>
      </w:pPr>
      <w:r>
        <w:rPr>
          <w:b w:val="1"/>
          <w:color w:val="000000"/>
          <w:sz w:val="28"/>
        </w:rPr>
        <w:t xml:space="preserve">I. Анализ текущего состояния осуществления регионального государственного контроля, описание текущего развития профилактической деятельности </w:t>
      </w:r>
      <w:r>
        <w:rPr>
          <w:b w:val="1"/>
          <w:color w:val="000000"/>
          <w:sz w:val="28"/>
        </w:rPr>
        <w:t>Комитета по охране объектов культурного наследия</w:t>
      </w:r>
      <w:r>
        <w:rPr>
          <w:b w:val="1"/>
          <w:color w:val="000000"/>
          <w:sz w:val="28"/>
        </w:rPr>
        <w:t xml:space="preserve"> Чукотского автономного округа</w:t>
      </w:r>
      <w:r>
        <w:rPr>
          <w:b w:val="1"/>
          <w:color w:val="000000"/>
          <w:sz w:val="28"/>
        </w:rPr>
        <w:t>, характеристика проблем, на решение которых направлена Программа профилактики</w:t>
      </w:r>
    </w:p>
    <w:p w14:paraId="FF000000">
      <w:pPr>
        <w:rPr>
          <w:rFonts w:ascii="PT Astra Serif" w:hAnsi="PT Astra Serif"/>
          <w:sz w:val="26"/>
        </w:rPr>
      </w:pPr>
    </w:p>
    <w:p w14:paraId="00010000">
      <w:pPr>
        <w:ind w:firstLine="709" w:left="0"/>
        <w:jc w:val="both"/>
        <w:rPr>
          <w:sz w:val="28"/>
        </w:rPr>
      </w:pPr>
      <w:r>
        <w:rPr>
          <w:sz w:val="28"/>
        </w:rPr>
        <w:t>По состоянию на 01.07.202</w:t>
      </w:r>
      <w:r>
        <w:rPr>
          <w:sz w:val="28"/>
        </w:rPr>
        <w:t>4</w:t>
      </w:r>
      <w:r>
        <w:rPr>
          <w:sz w:val="28"/>
        </w:rPr>
        <w:t xml:space="preserve"> на территории </w:t>
      </w:r>
      <w:r>
        <w:rPr>
          <w:sz w:val="28"/>
        </w:rPr>
        <w:t>Чукотского автономного округа</w:t>
      </w:r>
      <w:r>
        <w:rPr>
          <w:sz w:val="28"/>
        </w:rPr>
        <w:t xml:space="preserve"> находится:</w:t>
      </w:r>
    </w:p>
    <w:p w14:paraId="01010000">
      <w:pPr>
        <w:ind w:firstLine="709" w:left="0"/>
        <w:jc w:val="both"/>
        <w:rPr>
          <w:sz w:val="28"/>
        </w:rPr>
      </w:pPr>
      <w:r>
        <w:rPr>
          <w:sz w:val="28"/>
        </w:rPr>
        <w:t xml:space="preserve">- </w:t>
      </w:r>
      <w:r>
        <w:rPr>
          <w:sz w:val="28"/>
        </w:rPr>
        <w:t>2</w:t>
      </w:r>
      <w:r>
        <w:rPr>
          <w:sz w:val="28"/>
        </w:rPr>
        <w:t>8</w:t>
      </w:r>
      <w:r>
        <w:rPr>
          <w:sz w:val="28"/>
        </w:rPr>
        <w:t xml:space="preserve"> объект</w:t>
      </w:r>
      <w:r>
        <w:rPr>
          <w:sz w:val="28"/>
        </w:rPr>
        <w:t>ов</w:t>
      </w:r>
      <w:r>
        <w:rPr>
          <w:sz w:val="28"/>
        </w:rPr>
        <w:t xml:space="preserve"> культурного наследия регионального значения;</w:t>
      </w:r>
    </w:p>
    <w:p w14:paraId="02010000">
      <w:pPr>
        <w:ind w:firstLine="709" w:left="0"/>
        <w:jc w:val="both"/>
        <w:rPr>
          <w:sz w:val="28"/>
        </w:rPr>
      </w:pPr>
      <w:r>
        <w:rPr>
          <w:sz w:val="28"/>
        </w:rPr>
        <w:t>- 0 объектов культурного наследия муниципального значения;</w:t>
      </w:r>
    </w:p>
    <w:p w14:paraId="03010000">
      <w:pPr>
        <w:ind w:firstLine="709" w:left="0"/>
        <w:jc w:val="both"/>
        <w:rPr>
          <w:sz w:val="28"/>
        </w:rPr>
      </w:pPr>
      <w:r>
        <w:rPr>
          <w:sz w:val="28"/>
        </w:rPr>
        <w:t xml:space="preserve">- </w:t>
      </w:r>
      <w:r>
        <w:rPr>
          <w:sz w:val="28"/>
        </w:rPr>
        <w:t>2</w:t>
      </w:r>
      <w:r>
        <w:rPr>
          <w:sz w:val="28"/>
        </w:rPr>
        <w:t>3</w:t>
      </w:r>
      <w:r>
        <w:rPr>
          <w:sz w:val="28"/>
        </w:rPr>
        <w:t>7</w:t>
      </w:r>
      <w:r>
        <w:rPr>
          <w:sz w:val="28"/>
        </w:rPr>
        <w:t xml:space="preserve"> выявленных объектов культурного наследия, из них – </w:t>
      </w:r>
      <w:r>
        <w:rPr>
          <w:sz w:val="28"/>
        </w:rPr>
        <w:t>2</w:t>
      </w:r>
      <w:r>
        <w:rPr>
          <w:sz w:val="28"/>
        </w:rPr>
        <w:t>25</w:t>
      </w:r>
      <w:r>
        <w:rPr>
          <w:sz w:val="28"/>
        </w:rPr>
        <w:t xml:space="preserve"> выявленных объектов археологического наследия.</w:t>
      </w:r>
    </w:p>
    <w:p w14:paraId="04010000">
      <w:pPr>
        <w:ind w:firstLine="709" w:left="0"/>
        <w:jc w:val="both"/>
        <w:rPr>
          <w:sz w:val="28"/>
        </w:rPr>
      </w:pPr>
      <w:r>
        <w:rPr>
          <w:sz w:val="28"/>
        </w:rPr>
        <w:t>По результатам осуществления регионального государственного контроля за 20</w:t>
      </w:r>
      <w:r>
        <w:rPr>
          <w:sz w:val="28"/>
        </w:rPr>
        <w:t>21</w:t>
      </w:r>
      <w:r>
        <w:rPr>
          <w:sz w:val="28"/>
        </w:rPr>
        <w:t>-202</w:t>
      </w:r>
      <w:r>
        <w:rPr>
          <w:sz w:val="28"/>
        </w:rPr>
        <w:t>3</w:t>
      </w:r>
      <w:r>
        <w:rPr>
          <w:sz w:val="28"/>
        </w:rPr>
        <w:t xml:space="preserve"> года Комитетом установлены следующие характерные нарушения обязательных требований в области охраны объектов культурного наследия:</w:t>
      </w:r>
    </w:p>
    <w:p w14:paraId="05010000">
      <w:pPr>
        <w:ind w:firstLine="709" w:left="0"/>
        <w:jc w:val="both"/>
        <w:rPr>
          <w:sz w:val="28"/>
        </w:rPr>
      </w:pPr>
      <w:r>
        <w:rPr>
          <w:sz w:val="28"/>
        </w:rPr>
        <w:t xml:space="preserve">1) Ограничения (обременения) права, установленные Федеральным законом № 73-ФЗ, правообладателем объекта не выполняются: </w:t>
      </w:r>
    </w:p>
    <w:p w14:paraId="06010000">
      <w:pPr>
        <w:ind w:firstLine="709" w:left="0"/>
        <w:jc w:val="both"/>
        <w:rPr>
          <w:sz w:val="28"/>
        </w:rPr>
      </w:pPr>
      <w:r>
        <w:rPr>
          <w:sz w:val="28"/>
        </w:rPr>
        <w:t>-объект не поддерживается в надлежащем техническом,  противопожарном состоянии – объект имеет повреждения (неисправности, полученные при эксплуатации объекта), работы по сохранению объекта культурного наследия не осуществляются;</w:t>
      </w:r>
    </w:p>
    <w:p w14:paraId="07010000">
      <w:pPr>
        <w:ind w:firstLine="709" w:left="0"/>
        <w:jc w:val="both"/>
        <w:rPr>
          <w:sz w:val="28"/>
        </w:rPr>
      </w:pPr>
      <w:r>
        <w:rPr>
          <w:sz w:val="28"/>
        </w:rPr>
        <w:t xml:space="preserve">- не обеспечивается сохранность и неизменность облика выявленного объекта культурного наследия; </w:t>
      </w:r>
    </w:p>
    <w:p w14:paraId="08010000">
      <w:pPr>
        <w:ind w:firstLine="709" w:left="0"/>
        <w:jc w:val="both"/>
        <w:rPr>
          <w:sz w:val="28"/>
        </w:rPr>
      </w:pPr>
      <w:r>
        <w:rPr>
          <w:sz w:val="28"/>
        </w:rPr>
        <w:t>- территория объекта культурного наследия не поддерживается в благоустроенном состоянии.</w:t>
      </w:r>
    </w:p>
    <w:p w14:paraId="09010000">
      <w:pPr>
        <w:ind w:firstLine="709" w:left="0"/>
        <w:jc w:val="both"/>
        <w:rPr>
          <w:sz w:val="28"/>
        </w:rPr>
      </w:pPr>
      <w:r>
        <w:rPr>
          <w:sz w:val="28"/>
        </w:rPr>
        <w:t>2) Ограничения (обременения) права, установленные в соответствии с охранным обязательством, правообладателем объекта не выполняется:</w:t>
      </w:r>
    </w:p>
    <w:p w14:paraId="0A010000">
      <w:pPr>
        <w:ind w:firstLine="709" w:left="0"/>
        <w:jc w:val="both"/>
        <w:rPr>
          <w:sz w:val="28"/>
        </w:rPr>
      </w:pPr>
      <w:r>
        <w:rPr>
          <w:sz w:val="28"/>
        </w:rPr>
        <w:t xml:space="preserve">- не осуществляются работы по сохранению объекта культурного наследия; </w:t>
      </w:r>
    </w:p>
    <w:p w14:paraId="0B010000">
      <w:pPr>
        <w:ind w:firstLine="709" w:left="0"/>
        <w:jc w:val="both"/>
        <w:rPr>
          <w:sz w:val="28"/>
        </w:rPr>
      </w:pPr>
      <w:r>
        <w:rPr>
          <w:sz w:val="28"/>
        </w:rPr>
        <w:t xml:space="preserve">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в отсутствие в проектной документации разделов об обеспечении сохранности указанного объекта культурного наследия или о проведении спасательных археологических </w:t>
      </w:r>
      <w:r>
        <w:rPr>
          <w:sz w:val="28"/>
        </w:rPr>
        <w:t>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органом охраны объектов культурного наследия.</w:t>
      </w:r>
    </w:p>
    <w:p w14:paraId="0C010000">
      <w:pPr>
        <w:ind w:firstLine="709" w:left="0"/>
        <w:jc w:val="both"/>
        <w:rPr>
          <w:sz w:val="28"/>
        </w:rPr>
      </w:pPr>
      <w:r>
        <w:rPr>
          <w:sz w:val="28"/>
        </w:rPr>
        <w:t>Анализ причин нарушений обязательных требований, условий, способствующих нарушений обязательных требований показывает следующее:</w:t>
      </w:r>
    </w:p>
    <w:p w14:paraId="0D010000">
      <w:pPr>
        <w:ind w:firstLine="709" w:left="0"/>
        <w:jc w:val="both"/>
        <w:rPr>
          <w:sz w:val="28"/>
        </w:rPr>
      </w:pPr>
      <w:r>
        <w:rPr>
          <w:sz w:val="28"/>
        </w:rPr>
        <w:t xml:space="preserve">- подконтрольные субъекты не знают и (или) неверно понимают требования законодательства в области охраны объектов культурного наследия; </w:t>
      </w:r>
    </w:p>
    <w:p w14:paraId="0E010000">
      <w:pPr>
        <w:ind w:firstLine="709" w:left="0"/>
        <w:jc w:val="both"/>
        <w:rPr>
          <w:sz w:val="28"/>
        </w:rPr>
      </w:pPr>
      <w:r>
        <w:rPr>
          <w:sz w:val="28"/>
        </w:rPr>
        <w:t xml:space="preserve">- подконтрольные субъекты не знают и (или) неверно понимают ограничения (обременения) права, установленные Федеральным законом № 73-ФЗ. </w:t>
      </w:r>
    </w:p>
    <w:p w14:paraId="0F010000">
      <w:pPr>
        <w:ind w:firstLine="709" w:left="0"/>
        <w:jc w:val="both"/>
        <w:rPr>
          <w:sz w:val="28"/>
        </w:rPr>
      </w:pPr>
      <w:r>
        <w:rPr>
          <w:sz w:val="28"/>
        </w:rPr>
        <w:t>Особенности законодательства формируют причины постоянного сохранения нарушений обязательных требований.</w:t>
      </w:r>
    </w:p>
    <w:p w14:paraId="10010000">
      <w:pPr>
        <w:pStyle w:val="Style_4"/>
        <w:spacing w:after="0" w:before="0"/>
        <w:ind w:firstLine="708" w:left="0"/>
        <w:jc w:val="both"/>
        <w:rPr>
          <w:color w:val="000000"/>
          <w:sz w:val="28"/>
        </w:rPr>
      </w:pPr>
      <w:r>
        <w:rPr>
          <w:color w:val="000000"/>
          <w:sz w:val="28"/>
        </w:rPr>
        <w:t xml:space="preserve">Объектами при осуществлении вида государственного контроля являются: </w:t>
      </w:r>
    </w:p>
    <w:p w14:paraId="11010000">
      <w:pPr>
        <w:ind w:firstLine="708" w:left="0"/>
        <w:jc w:val="both"/>
        <w:rPr>
          <w:sz w:val="28"/>
        </w:rPr>
      </w:pPr>
      <w:r>
        <w:rPr>
          <w:sz w:val="28"/>
        </w:rPr>
        <w:t xml:space="preserve">а) деятельность, действия (бездействие) контролируемых лиц по содержанию, сохранению, использованию, популяризации и государственной охране объектов культурного наследия регионального, муниципального значения, выявленных объектов культурного наследия, расположенных на территории </w:t>
      </w:r>
      <w:r>
        <w:rPr>
          <w:sz w:val="28"/>
        </w:rPr>
        <w:t>Чукотского автономного округа</w:t>
      </w:r>
      <w:r>
        <w:rPr>
          <w:sz w:val="28"/>
        </w:rPr>
        <w:t>;</w:t>
      </w:r>
    </w:p>
    <w:p w14:paraId="12010000">
      <w:pPr>
        <w:ind w:firstLine="708" w:left="0"/>
        <w:jc w:val="both"/>
        <w:rPr>
          <w:sz w:val="28"/>
        </w:rPr>
      </w:pPr>
      <w:r>
        <w:rPr>
          <w:sz w:val="28"/>
        </w:rPr>
        <w:t>б) объекты культурного наследия регионального, муниципального значения, выявленных объектов культурного наследия, расположенные на территории</w:t>
      </w:r>
      <w:r>
        <w:rPr>
          <w:sz w:val="28"/>
        </w:rPr>
        <w:t xml:space="preserve"> Чукотского автономного округа</w:t>
      </w:r>
      <w:r>
        <w:rPr>
          <w:sz w:val="28"/>
        </w:rPr>
        <w:t>.</w:t>
      </w:r>
    </w:p>
    <w:p w14:paraId="13010000">
      <w:pPr>
        <w:pStyle w:val="Style_4"/>
        <w:spacing w:after="0" w:before="0"/>
        <w:ind w:firstLine="708" w:left="0"/>
        <w:jc w:val="both"/>
        <w:rPr>
          <w:sz w:val="28"/>
        </w:rPr>
      </w:pPr>
      <w:r>
        <w:rPr>
          <w:color w:val="000000"/>
          <w:sz w:val="28"/>
        </w:rPr>
        <w:t xml:space="preserve">Контролируемыми лицами при осуществлении регионального государственного контроля являются </w:t>
      </w:r>
      <w:r>
        <w:rPr>
          <w:sz w:val="28"/>
        </w:rPr>
        <w:t>юридические лица, индивидуальные предприниматели и граждане, являющиеся собственниками, пользователями объектов культурного наследия регионального, муниципального значения, выявленных объектов культурного наследия, земельных участков, в границах которых расположены территории объектов культурного наследия регионального, муниципального значения, осуществляющих свою деятельность в границах зон охраны объектов культурного наследия регионального муниципального значения, защитных зон объектов культурного наследия регионального, муниципального значения, в границах территории исторических поселений.</w:t>
      </w:r>
    </w:p>
    <w:p w14:paraId="14010000">
      <w:pPr>
        <w:ind w:firstLine="709" w:left="0"/>
        <w:jc w:val="both"/>
        <w:rPr>
          <w:sz w:val="28"/>
        </w:rPr>
      </w:pPr>
      <w:r>
        <w:rPr>
          <w:sz w:val="28"/>
        </w:rPr>
        <w:t xml:space="preserve">В соответствии со ст. 48 Федерального закона № 73-ФЗ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 </w:t>
      </w:r>
    </w:p>
    <w:p w14:paraId="15010000">
      <w:pPr>
        <w:ind w:firstLine="709" w:left="0"/>
        <w:jc w:val="both"/>
        <w:rPr>
          <w:sz w:val="28"/>
        </w:rPr>
      </w:pPr>
      <w:r>
        <w:rPr>
          <w:sz w:val="28"/>
        </w:rPr>
        <w:t xml:space="preserve">Распоряжение объектом культурного наследия, выявленным объектом культурного наследия, в том числе их отчуждение или передача прав </w:t>
      </w:r>
      <w:r>
        <w:rPr>
          <w:sz w:val="28"/>
        </w:rPr>
        <w:t>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Федерального закона № 73-ФЗ.</w:t>
      </w:r>
    </w:p>
    <w:p w14:paraId="16010000">
      <w:pPr>
        <w:ind w:firstLine="709" w:left="0"/>
        <w:jc w:val="both"/>
        <w:rPr>
          <w:sz w:val="28"/>
        </w:rPr>
      </w:pPr>
      <w:r>
        <w:rPr>
          <w:sz w:val="28"/>
        </w:rPr>
        <w:t xml:space="preserve">При этом, Федеральным законом </w:t>
      </w:r>
      <w:r>
        <w:rPr>
          <w:sz w:val="28"/>
        </w:rPr>
        <w:t>№</w:t>
      </w:r>
      <w:r>
        <w:rPr>
          <w:sz w:val="28"/>
        </w:rPr>
        <w:t xml:space="preserve"> 73-ФЗ не установлена обязанность по извещению регионального органа охраны о государственной регистрации права на объект культурного наследия, выявленный объект культурного наследия, земельный участок в границах территории объекта культурного наследия, выявленного объекта культурного наследия, зон охраны и территорий исторических поселений. </w:t>
      </w:r>
    </w:p>
    <w:p w14:paraId="17010000">
      <w:pPr>
        <w:ind w:firstLine="709" w:left="0"/>
        <w:jc w:val="both"/>
        <w:rPr>
          <w:sz w:val="28"/>
        </w:rPr>
      </w:pPr>
      <w:r>
        <w:rPr>
          <w:sz w:val="28"/>
        </w:rPr>
        <w:t xml:space="preserve">С учетом указанных обстоятельств, при осуществлении государственного надзора не представляется возможным определить точный перечень подконтрольных субъектов и вести их учет в режиме реального времени. </w:t>
      </w:r>
    </w:p>
    <w:p w14:paraId="18010000">
      <w:pPr>
        <w:ind w:firstLine="709" w:left="0"/>
        <w:jc w:val="both"/>
        <w:rPr>
          <w:sz w:val="28"/>
        </w:rPr>
      </w:pPr>
      <w:r>
        <w:rPr>
          <w:sz w:val="28"/>
        </w:rPr>
        <w:t>Данные обстоятельства также затрудняют эффективность профилактической работы и информирования подконтрольных субъектов.</w:t>
      </w:r>
    </w:p>
    <w:p w14:paraId="19010000">
      <w:pPr>
        <w:ind w:firstLine="706" w:left="0"/>
        <w:jc w:val="both"/>
        <w:rPr>
          <w:sz w:val="28"/>
        </w:rPr>
      </w:pPr>
      <w:r>
        <w:rPr>
          <w:sz w:val="28"/>
        </w:rPr>
        <w:t xml:space="preserve">В связи с тем, что круг поднадзорных субъектов не является закрытым, Комитету необходимо обеспечить доступность сведений об объектах надзора – объектах культурного наследия, а также сведений об обязательных требованиях, установленных нормативными правовыми актами в сфере государственной охраны объектов культурного наследия. </w:t>
      </w:r>
    </w:p>
    <w:p w14:paraId="1A010000">
      <w:pPr>
        <w:ind w:firstLine="706" w:left="0"/>
        <w:jc w:val="both"/>
        <w:rPr>
          <w:sz w:val="28"/>
        </w:rPr>
      </w:pPr>
      <w:r>
        <w:rPr>
          <w:sz w:val="28"/>
        </w:rPr>
        <w:t xml:space="preserve">К сведениям об объектах надзора в целях настоящей программы профилактики относятся: </w:t>
      </w:r>
    </w:p>
    <w:p w14:paraId="1B010000">
      <w:pPr>
        <w:ind w:firstLine="706" w:left="0"/>
        <w:jc w:val="both"/>
        <w:rPr>
          <w:sz w:val="28"/>
        </w:rPr>
      </w:pPr>
      <w:r>
        <w:rPr>
          <w:sz w:val="28"/>
        </w:rPr>
        <w:t>- перечень объектов культурного наследия регионального, муниципального значения, выявленных объектов культурного наследия, расположенных на территории</w:t>
      </w:r>
      <w:r>
        <w:rPr>
          <w:sz w:val="28"/>
        </w:rPr>
        <w:t xml:space="preserve"> Чукотского автономного округа</w:t>
      </w:r>
      <w:r>
        <w:rPr>
          <w:sz w:val="28"/>
        </w:rPr>
        <w:t xml:space="preserve">; </w:t>
      </w:r>
    </w:p>
    <w:p w14:paraId="1C010000">
      <w:pPr>
        <w:ind w:firstLine="706" w:left="0"/>
        <w:jc w:val="both"/>
        <w:rPr>
          <w:sz w:val="28"/>
        </w:rPr>
      </w:pPr>
      <w:r>
        <w:rPr>
          <w:sz w:val="28"/>
        </w:rPr>
        <w:t xml:space="preserve">- сведения о границах территории объектов культурного наследия регионального, муниципального значения, выявленных объектов культурного наследия; </w:t>
      </w:r>
    </w:p>
    <w:p w14:paraId="1D010000">
      <w:pPr>
        <w:ind w:firstLine="706" w:left="0"/>
        <w:jc w:val="both"/>
        <w:rPr>
          <w:sz w:val="28"/>
        </w:rPr>
      </w:pPr>
      <w:r>
        <w:rPr>
          <w:sz w:val="28"/>
        </w:rPr>
        <w:t>- сведения о границах зон охраны объектов культурного наследия регионального, муниципального значения;</w:t>
      </w:r>
    </w:p>
    <w:p w14:paraId="1E010000">
      <w:pPr>
        <w:ind w:firstLine="706" w:left="0"/>
        <w:jc w:val="both"/>
        <w:rPr>
          <w:sz w:val="28"/>
        </w:rPr>
      </w:pPr>
      <w:r>
        <w:rPr>
          <w:sz w:val="28"/>
        </w:rPr>
        <w:t>- сведения о предмете охраны объектов культурного наследия регионального, муниципального значения;</w:t>
      </w:r>
    </w:p>
    <w:p w14:paraId="1F010000">
      <w:pPr>
        <w:ind w:firstLine="706" w:left="0"/>
        <w:jc w:val="both"/>
        <w:rPr>
          <w:sz w:val="28"/>
        </w:rPr>
      </w:pPr>
      <w:r>
        <w:rPr>
          <w:sz w:val="28"/>
        </w:rPr>
        <w:t xml:space="preserve">- сведения об утвержденных охранных обязательствах собственника или иного законного владельца объекта культурного наследия регионального, муниципального значения. </w:t>
      </w:r>
    </w:p>
    <w:p w14:paraId="20010000">
      <w:pPr>
        <w:ind w:firstLine="706" w:left="0"/>
        <w:jc w:val="both"/>
        <w:rPr>
          <w:sz w:val="28"/>
        </w:rPr>
      </w:pPr>
      <w:r>
        <w:rPr>
          <w:sz w:val="28"/>
        </w:rPr>
        <w:t xml:space="preserve">В настоящее время на сайте Комитета и на официальном интернет – портале правовой информации - </w:t>
      </w:r>
      <w:r>
        <w:rPr>
          <w:rStyle w:val="Style_5_ch"/>
          <w:sz w:val="28"/>
        </w:rPr>
        <w:fldChar w:fldCharType="begin"/>
      </w:r>
      <w:r>
        <w:rPr>
          <w:rStyle w:val="Style_5_ch"/>
          <w:sz w:val="28"/>
        </w:rPr>
        <w:instrText>HYPERLINK "http://www.pravo.gov.ru"</w:instrText>
      </w:r>
      <w:r>
        <w:rPr>
          <w:rStyle w:val="Style_5_ch"/>
          <w:sz w:val="28"/>
        </w:rPr>
        <w:fldChar w:fldCharType="separate"/>
      </w:r>
      <w:r>
        <w:rPr>
          <w:rStyle w:val="Style_5_ch"/>
          <w:sz w:val="28"/>
        </w:rPr>
        <w:t>www.pravo.gov.ru</w:t>
      </w:r>
      <w:r>
        <w:rPr>
          <w:rStyle w:val="Style_5_ch"/>
          <w:sz w:val="28"/>
        </w:rPr>
        <w:fldChar w:fldCharType="end"/>
      </w:r>
      <w:r>
        <w:rPr>
          <w:sz w:val="28"/>
        </w:rPr>
        <w:t xml:space="preserve">, 100 % размещение сведений обеспечено в отношении следующих сведений: </w:t>
      </w:r>
    </w:p>
    <w:p w14:paraId="21010000">
      <w:pPr>
        <w:ind w:firstLine="706" w:left="0"/>
        <w:jc w:val="both"/>
        <w:rPr>
          <w:sz w:val="28"/>
        </w:rPr>
      </w:pPr>
      <w:r>
        <w:rPr>
          <w:sz w:val="28"/>
        </w:rPr>
        <w:t>- перечень объектов культурного наследия регионального, муниципального значения, выявленных объектов культурного наследия, расположенных на территории</w:t>
      </w:r>
      <w:r>
        <w:rPr>
          <w:sz w:val="28"/>
        </w:rPr>
        <w:t xml:space="preserve"> Чукотского автономного округа</w:t>
      </w:r>
      <w:r>
        <w:rPr>
          <w:sz w:val="28"/>
        </w:rPr>
        <w:t xml:space="preserve">; </w:t>
      </w:r>
    </w:p>
    <w:p w14:paraId="22010000">
      <w:pPr>
        <w:ind w:firstLine="706" w:left="0"/>
        <w:jc w:val="both"/>
        <w:rPr>
          <w:sz w:val="28"/>
        </w:rPr>
      </w:pPr>
      <w:r>
        <w:rPr>
          <w:sz w:val="28"/>
        </w:rPr>
        <w:t xml:space="preserve">- сведения о границах зон охраны объектов культурного наследия регионального, муниципального значения; </w:t>
      </w:r>
    </w:p>
    <w:p w14:paraId="23010000">
      <w:pPr>
        <w:ind w:firstLine="706" w:left="0"/>
        <w:jc w:val="both"/>
        <w:rPr>
          <w:sz w:val="28"/>
        </w:rPr>
      </w:pPr>
      <w:r>
        <w:rPr>
          <w:sz w:val="28"/>
        </w:rPr>
        <w:t>- сведения об утвержденных охранных обязательствах собственника или иного законного владельца объекта культурного наследия регионального, муниципального значения.</w:t>
      </w:r>
    </w:p>
    <w:p w14:paraId="24010000">
      <w:pPr>
        <w:ind w:firstLine="706" w:left="0"/>
        <w:jc w:val="both"/>
        <w:rPr>
          <w:sz w:val="28"/>
        </w:rPr>
      </w:pPr>
      <w:r>
        <w:rPr>
          <w:sz w:val="28"/>
        </w:rPr>
        <w:t>В 202</w:t>
      </w:r>
      <w:r>
        <w:rPr>
          <w:sz w:val="28"/>
        </w:rPr>
        <w:t>5</w:t>
      </w:r>
      <w:r>
        <w:rPr>
          <w:sz w:val="28"/>
        </w:rPr>
        <w:t xml:space="preserve"> – 202</w:t>
      </w:r>
      <w:r>
        <w:rPr>
          <w:sz w:val="28"/>
        </w:rPr>
        <w:t>6</w:t>
      </w:r>
      <w:r>
        <w:rPr>
          <w:sz w:val="28"/>
        </w:rPr>
        <w:t xml:space="preserve"> годах планируется обеспечение 100 % доступности в отношении остальных сведений об объектах надзора. </w:t>
      </w:r>
    </w:p>
    <w:p w14:paraId="25010000">
      <w:pPr>
        <w:ind w:firstLine="706" w:left="0"/>
        <w:jc w:val="both"/>
        <w:rPr>
          <w:sz w:val="28"/>
        </w:rPr>
      </w:pPr>
      <w:r>
        <w:rPr>
          <w:sz w:val="28"/>
        </w:rPr>
        <w:t xml:space="preserve">Особенностью осуществления регионального государственного надзора на территории </w:t>
      </w:r>
      <w:r>
        <w:rPr>
          <w:sz w:val="28"/>
        </w:rPr>
        <w:t xml:space="preserve">Чукотского автономного округа </w:t>
      </w:r>
      <w:r>
        <w:rPr>
          <w:sz w:val="28"/>
        </w:rPr>
        <w:t xml:space="preserve">является удаленность расположения объектов надзора от </w:t>
      </w:r>
      <w:r>
        <w:rPr>
          <w:sz w:val="28"/>
        </w:rPr>
        <w:t xml:space="preserve"> населенных пунктов </w:t>
      </w:r>
      <w:r>
        <w:rPr>
          <w:sz w:val="28"/>
        </w:rPr>
        <w:t xml:space="preserve">и их труднодоступность (в отношении некоторых объектов доступность является сезонной). </w:t>
      </w:r>
    </w:p>
    <w:p w14:paraId="26010000">
      <w:pPr>
        <w:rPr>
          <w:sz w:val="28"/>
        </w:rPr>
      </w:pPr>
    </w:p>
    <w:p w14:paraId="27010000">
      <w:pPr>
        <w:pStyle w:val="Style_4"/>
        <w:spacing w:after="0" w:before="0"/>
        <w:ind w:firstLine="709" w:left="0"/>
        <w:jc w:val="center"/>
        <w:rPr>
          <w:sz w:val="28"/>
        </w:rPr>
      </w:pPr>
      <w:r>
        <w:rPr>
          <w:b w:val="1"/>
          <w:color w:val="000000"/>
          <w:sz w:val="28"/>
        </w:rPr>
        <w:t>II. Цели и задачи реализации Программы профилактики</w:t>
      </w:r>
    </w:p>
    <w:p w14:paraId="28010000">
      <w:pPr>
        <w:rPr>
          <w:rFonts w:ascii="PT Astra Serif" w:hAnsi="PT Astra Serif"/>
          <w:sz w:val="26"/>
        </w:rPr>
      </w:pPr>
    </w:p>
    <w:p w14:paraId="29010000">
      <w:pPr>
        <w:ind w:firstLine="709" w:left="0"/>
        <w:jc w:val="both"/>
        <w:rPr>
          <w:sz w:val="28"/>
        </w:rPr>
      </w:pPr>
      <w:r>
        <w:rPr>
          <w:sz w:val="28"/>
        </w:rPr>
        <w:t>1. Цели программы:</w:t>
      </w:r>
    </w:p>
    <w:p w14:paraId="2A010000">
      <w:pPr>
        <w:ind w:firstLine="709" w:left="0"/>
        <w:jc w:val="both"/>
        <w:rPr>
          <w:sz w:val="28"/>
        </w:rPr>
      </w:pPr>
      <w:r>
        <w:rPr>
          <w:sz w:val="28"/>
        </w:rPr>
        <w:t xml:space="preserve">- предотвращение причинения вреда либо угрозы причинения вреда объектам культурного наследия </w:t>
      </w:r>
      <w:r>
        <w:rPr>
          <w:sz w:val="28"/>
        </w:rPr>
        <w:t>регионального, муниципального значения, выявленных объектов культурного наследия</w:t>
      </w:r>
      <w:r>
        <w:rPr>
          <w:sz w:val="28"/>
        </w:rPr>
        <w:t xml:space="preserve">, расположенных на территории </w:t>
      </w:r>
      <w:r>
        <w:rPr>
          <w:sz w:val="28"/>
        </w:rPr>
        <w:t xml:space="preserve"> Чукотского автономного округа </w:t>
      </w:r>
      <w:r>
        <w:rPr>
          <w:sz w:val="28"/>
        </w:rPr>
        <w:t xml:space="preserve">вследствие нарушений обязательных требований в области охраны объектов культурного наследия (далее – обязательные требования) (снижение количества случав причинения вреда либо угрозы причинения вреда объектам культурного наследия </w:t>
      </w:r>
      <w:r>
        <w:rPr>
          <w:sz w:val="28"/>
        </w:rPr>
        <w:t>регионального, муниципального значения, выявленных объектов культурного наследия);</w:t>
      </w:r>
      <w:r>
        <w:rPr>
          <w:sz w:val="28"/>
        </w:rPr>
        <w:t xml:space="preserve"> </w:t>
      </w:r>
    </w:p>
    <w:p w14:paraId="2B010000">
      <w:pPr>
        <w:ind w:firstLine="709" w:left="0"/>
        <w:jc w:val="both"/>
        <w:rPr>
          <w:sz w:val="28"/>
        </w:rPr>
      </w:pPr>
      <w:r>
        <w:rPr>
          <w:sz w:val="28"/>
        </w:rPr>
        <w:t xml:space="preserve">- предупреждение нарушений подконтрольными субъектами обязательных требований (снижение количества случав нарушений обязательных требований); </w:t>
      </w:r>
    </w:p>
    <w:p w14:paraId="2C010000">
      <w:pPr>
        <w:pStyle w:val="Style_4"/>
        <w:spacing w:after="0" w:before="0"/>
        <w:ind w:firstLine="567" w:left="0"/>
        <w:jc w:val="both"/>
        <w:rPr>
          <w:sz w:val="28"/>
        </w:rPr>
      </w:pPr>
      <w:r>
        <w:rPr>
          <w:color w:val="000000"/>
          <w:sz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D010000">
      <w:pPr>
        <w:ind w:firstLine="709" w:left="0"/>
        <w:jc w:val="both"/>
        <w:rPr>
          <w:sz w:val="28"/>
        </w:rPr>
      </w:pPr>
      <w:r>
        <w:rPr>
          <w:sz w:val="28"/>
        </w:rPr>
        <w:t xml:space="preserve">- создание системы профилактики органа охраны объектов культурного наследия причинения вреда либо угрозы причинения вреда объектам культурного наследия </w:t>
      </w:r>
      <w:r>
        <w:rPr>
          <w:sz w:val="28"/>
        </w:rPr>
        <w:t>регионального, муниципального значения, выявленных объектов культурного наследия</w:t>
      </w:r>
      <w:r>
        <w:rPr>
          <w:sz w:val="28"/>
        </w:rPr>
        <w:t xml:space="preserve">, расположенным на территории </w:t>
      </w:r>
      <w:r>
        <w:rPr>
          <w:sz w:val="28"/>
        </w:rPr>
        <w:t xml:space="preserve"> Чукотского автономного округа в ч</w:t>
      </w:r>
      <w:r>
        <w:rPr>
          <w:sz w:val="28"/>
        </w:rPr>
        <w:t>асти, нарушений обязательных требований;</w:t>
      </w:r>
    </w:p>
    <w:p w14:paraId="2E010000">
      <w:pPr>
        <w:pStyle w:val="Style_4"/>
        <w:spacing w:after="0" w:before="0"/>
        <w:ind w:firstLine="567" w:left="0"/>
        <w:jc w:val="both"/>
        <w:rPr>
          <w:sz w:val="28"/>
        </w:rPr>
      </w:pPr>
      <w:r>
        <w:rPr>
          <w:color w:val="000000"/>
          <w:sz w:val="28"/>
        </w:rPr>
        <w:t>- формирование моделей социально ответственного, добросовестного, правового поведения контролируемых лиц;</w:t>
      </w:r>
    </w:p>
    <w:p w14:paraId="2F010000">
      <w:pPr>
        <w:pStyle w:val="Style_4"/>
        <w:spacing w:after="0" w:before="0"/>
        <w:ind w:firstLine="567" w:left="0"/>
        <w:jc w:val="both"/>
        <w:rPr>
          <w:sz w:val="28"/>
        </w:rPr>
      </w:pPr>
      <w:r>
        <w:rPr>
          <w:color w:val="000000"/>
          <w:sz w:val="28"/>
        </w:rPr>
        <w:t>- повышение прозрачности системы контрольно-надзорной деятельности.</w:t>
      </w:r>
    </w:p>
    <w:p w14:paraId="30010000">
      <w:pPr>
        <w:ind w:firstLine="709" w:left="0"/>
        <w:jc w:val="both"/>
        <w:rPr>
          <w:sz w:val="28"/>
        </w:rPr>
      </w:pPr>
      <w:r>
        <w:rPr>
          <w:sz w:val="28"/>
        </w:rPr>
        <w:t>2. Задачи программы:</w:t>
      </w:r>
    </w:p>
    <w:p w14:paraId="31010000">
      <w:pPr>
        <w:pStyle w:val="Style_4"/>
        <w:spacing w:after="0" w:before="0"/>
        <w:ind w:firstLine="567" w:left="0"/>
        <w:jc w:val="both"/>
        <w:rPr>
          <w:sz w:val="28"/>
        </w:rPr>
      </w:pPr>
      <w:r>
        <w:rPr>
          <w:color w:val="000000"/>
          <w:sz w:val="28"/>
        </w:rPr>
        <w:t xml:space="preserve">- оценка возможной угрозы причинения, либо причинения вреда (ущерба) объектам культурного наследия </w:t>
      </w:r>
      <w:r>
        <w:rPr>
          <w:sz w:val="28"/>
        </w:rPr>
        <w:t>регионального, муниципального значения, выявленных объектов культурного наследия</w:t>
      </w:r>
      <w:r>
        <w:rPr>
          <w:color w:val="000000"/>
          <w:sz w:val="28"/>
        </w:rPr>
        <w:t>, выработка и реализация профилактических мер, способствующих ее снижению;</w:t>
      </w:r>
    </w:p>
    <w:p w14:paraId="32010000">
      <w:pPr>
        <w:pStyle w:val="Style_4"/>
        <w:spacing w:after="0" w:before="0"/>
        <w:ind w:firstLine="567" w:left="0"/>
        <w:jc w:val="both"/>
        <w:rPr>
          <w:sz w:val="28"/>
        </w:rPr>
      </w:pPr>
      <w:r>
        <w:rPr>
          <w:color w:val="000000"/>
          <w:sz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33010000">
      <w:pPr>
        <w:pStyle w:val="Style_4"/>
        <w:spacing w:after="0" w:before="0"/>
        <w:ind w:firstLine="567" w:left="0"/>
        <w:jc w:val="both"/>
        <w:rPr>
          <w:sz w:val="28"/>
        </w:rPr>
      </w:pPr>
      <w:r>
        <w:rPr>
          <w:color w:val="000000"/>
          <w:sz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34010000">
      <w:pPr>
        <w:pStyle w:val="Style_4"/>
        <w:spacing w:after="0" w:before="0"/>
        <w:ind w:firstLine="567" w:left="0"/>
        <w:jc w:val="both"/>
        <w:rPr>
          <w:sz w:val="28"/>
        </w:rPr>
      </w:pPr>
      <w:r>
        <w:rPr>
          <w:color w:val="000000"/>
          <w:sz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35010000">
      <w:pPr>
        <w:pStyle w:val="Style_4"/>
        <w:spacing w:after="0" w:before="0"/>
        <w:ind w:firstLine="567" w:left="0"/>
        <w:jc w:val="both"/>
        <w:rPr>
          <w:sz w:val="28"/>
        </w:rPr>
      </w:pPr>
      <w:r>
        <w:rPr>
          <w:color w:val="000000"/>
          <w:sz w:val="28"/>
        </w:rPr>
        <w:t>- регулярн</w:t>
      </w:r>
      <w:r>
        <w:rPr>
          <w:color w:val="000000"/>
          <w:sz w:val="28"/>
        </w:rPr>
        <w:t>ый контроль</w:t>
      </w:r>
      <w:r>
        <w:rPr>
          <w:color w:val="000000"/>
          <w:sz w:val="28"/>
        </w:rPr>
        <w:t xml:space="preserve">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6010000">
      <w:pPr>
        <w:pStyle w:val="Style_4"/>
        <w:spacing w:after="0" w:before="0"/>
        <w:ind w:firstLine="567" w:left="0"/>
        <w:jc w:val="both"/>
        <w:rPr>
          <w:sz w:val="28"/>
        </w:rPr>
      </w:pPr>
      <w:r>
        <w:rPr>
          <w:color w:val="000000"/>
          <w:sz w:val="28"/>
        </w:rPr>
        <w:t>- формирование единого понимания обязательных требований у всех участников контрольно-надзорной деятельности;</w:t>
      </w:r>
    </w:p>
    <w:p w14:paraId="37010000">
      <w:pPr>
        <w:pStyle w:val="Style_4"/>
        <w:spacing w:after="0" w:before="0"/>
        <w:ind w:firstLine="567" w:left="0"/>
        <w:jc w:val="both"/>
        <w:rPr>
          <w:color w:val="000000"/>
          <w:sz w:val="28"/>
        </w:rPr>
      </w:pPr>
      <w:r>
        <w:rPr>
          <w:color w:val="000000"/>
          <w:sz w:val="28"/>
        </w:rPr>
        <w:t xml:space="preserve">- создание и внедрение мер системы позитивной профилактики; </w:t>
      </w:r>
    </w:p>
    <w:p w14:paraId="38010000">
      <w:pPr>
        <w:pStyle w:val="Style_4"/>
        <w:spacing w:after="0" w:before="0"/>
        <w:ind w:firstLine="567" w:left="0"/>
        <w:jc w:val="both"/>
        <w:rPr>
          <w:sz w:val="28"/>
        </w:rPr>
      </w:pPr>
      <w:r>
        <w:rPr>
          <w:color w:val="000000"/>
          <w:sz w:val="28"/>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39010000">
      <w:pPr>
        <w:pStyle w:val="Style_4"/>
        <w:spacing w:after="0" w:before="0"/>
        <w:ind w:firstLine="567" w:left="0"/>
        <w:jc w:val="both"/>
        <w:rPr>
          <w:sz w:val="28"/>
        </w:rPr>
      </w:pPr>
      <w:r>
        <w:rPr>
          <w:color w:val="000000"/>
          <w:sz w:val="28"/>
        </w:rPr>
        <w:t>- снижение издержек контрольно-надзорной деятельности и административной нагрузки на контролируемых лиц.</w:t>
      </w:r>
    </w:p>
    <w:p w14:paraId="3A010000">
      <w:pPr>
        <w:ind w:firstLine="709" w:left="0"/>
        <w:jc w:val="both"/>
        <w:rPr>
          <w:sz w:val="28"/>
        </w:rPr>
      </w:pPr>
      <w:r>
        <w:rPr>
          <w:sz w:val="28"/>
        </w:rPr>
        <w:t>Ожидаемые конечные результаты реализации программы:</w:t>
      </w:r>
    </w:p>
    <w:p w14:paraId="3B010000">
      <w:pPr>
        <w:ind w:firstLine="709" w:left="0"/>
        <w:jc w:val="both"/>
        <w:rPr>
          <w:sz w:val="28"/>
        </w:rPr>
      </w:pPr>
      <w:r>
        <w:rPr>
          <w:sz w:val="28"/>
        </w:rPr>
        <w:t xml:space="preserve">- снижение количества фактов причинения вреда либо угрозы причинения вреда объектам культурного наследия </w:t>
      </w:r>
      <w:r>
        <w:rPr>
          <w:sz w:val="28"/>
        </w:rPr>
        <w:t>регионального, муниципального значения, выявленных объектов культурного наследия</w:t>
      </w:r>
      <w:r>
        <w:rPr>
          <w:sz w:val="28"/>
        </w:rPr>
        <w:t xml:space="preserve">, расположенным на территории </w:t>
      </w:r>
      <w:r>
        <w:rPr>
          <w:sz w:val="28"/>
        </w:rPr>
        <w:t xml:space="preserve">Чукотского автономного округа </w:t>
      </w:r>
      <w:r>
        <w:rPr>
          <w:sz w:val="28"/>
        </w:rPr>
        <w:t>и нарушений обязательных требований;</w:t>
      </w:r>
    </w:p>
    <w:p w14:paraId="3C010000">
      <w:pPr>
        <w:ind w:firstLine="709" w:left="0"/>
        <w:jc w:val="both"/>
        <w:rPr>
          <w:sz w:val="28"/>
        </w:rPr>
      </w:pPr>
      <w:r>
        <w:rPr>
          <w:sz w:val="28"/>
        </w:rPr>
        <w:t>- развитие системы профилактических мероприятий Комитета: внедрение различных способов профилактики; обеспечение квалифицированной профилактической работы должностных лиц Комитета.</w:t>
      </w:r>
    </w:p>
    <w:p w14:paraId="3D010000">
      <w:pPr>
        <w:ind w:firstLine="709" w:left="0"/>
        <w:jc w:val="both"/>
        <w:rPr>
          <w:sz w:val="28"/>
        </w:rPr>
      </w:pPr>
      <w:r>
        <w:rPr>
          <w:sz w:val="28"/>
        </w:rPr>
        <w:t>- повышение информированности подконтрольных субъектов о действующих нормативных правовых актах, содержащих обязательные требования в области охраны объектов культурного наследия, о действующих требованиях законодательства в области охраны объектов культурного наследия, что в результате должно привести к снижению количества нарушений обязательных требований и уменьшению количества случаев причинения вреда либо угрозы причинения вреда объектам культурного наследия вследствие нарушений обязательных требований.</w:t>
      </w:r>
    </w:p>
    <w:p w14:paraId="3E010000">
      <w:pPr>
        <w:rPr>
          <w:rFonts w:ascii="PT Astra Serif" w:hAnsi="PT Astra Serif"/>
          <w:sz w:val="26"/>
        </w:rPr>
      </w:pPr>
    </w:p>
    <w:p w14:paraId="3F010000">
      <w:pPr>
        <w:pStyle w:val="Style_4"/>
        <w:spacing w:after="0" w:before="0"/>
        <w:ind/>
        <w:jc w:val="center"/>
        <w:rPr>
          <w:sz w:val="28"/>
        </w:rPr>
      </w:pPr>
      <w:r>
        <w:rPr>
          <w:b w:val="1"/>
          <w:color w:val="000000"/>
          <w:sz w:val="28"/>
        </w:rPr>
        <w:t>III. Перечень профилактических мероприятий, сроки</w:t>
      </w:r>
    </w:p>
    <w:p w14:paraId="40010000">
      <w:pPr>
        <w:pStyle w:val="Style_4"/>
        <w:spacing w:after="0" w:before="0"/>
        <w:ind w:firstLine="567" w:left="0"/>
        <w:jc w:val="center"/>
        <w:rPr>
          <w:sz w:val="28"/>
        </w:rPr>
      </w:pPr>
      <w:r>
        <w:rPr>
          <w:b w:val="1"/>
          <w:color w:val="000000"/>
          <w:sz w:val="28"/>
        </w:rPr>
        <w:t>(периодичность) их проведения</w:t>
      </w:r>
    </w:p>
    <w:p w14:paraId="41010000">
      <w:pPr>
        <w:rPr>
          <w:sz w:val="28"/>
        </w:rPr>
      </w:pPr>
    </w:p>
    <w:p w14:paraId="42010000">
      <w:pPr>
        <w:pStyle w:val="Style_4"/>
        <w:spacing w:after="0" w:before="0"/>
        <w:ind w:firstLine="567" w:left="0"/>
        <w:jc w:val="both"/>
        <w:rPr>
          <w:sz w:val="28"/>
        </w:rPr>
      </w:pPr>
      <w:r>
        <w:rPr>
          <w:color w:val="000000"/>
          <w:sz w:val="28"/>
        </w:rPr>
        <w:t xml:space="preserve">1. В соответствии с </w:t>
      </w:r>
      <w:r>
        <w:rPr>
          <w:sz w:val="28"/>
        </w:rPr>
        <w:t>Положения о</w:t>
      </w:r>
      <w:r>
        <w:rPr>
          <w:b w:val="1"/>
          <w:sz w:val="28"/>
        </w:rPr>
        <w:t xml:space="preserve"> </w:t>
      </w:r>
      <w:r>
        <w:rPr>
          <w:sz w:val="28"/>
        </w:rPr>
        <w:t>региональном государственном контроле</w:t>
      </w:r>
      <w:r>
        <w:rPr>
          <w:sz w:val="28"/>
        </w:rPr>
        <w:t xml:space="preserve"> </w:t>
      </w:r>
      <w:r>
        <w:rPr>
          <w:color w:val="000000"/>
          <w:sz w:val="28"/>
        </w:rPr>
        <w:t>проводятся следующие профилактические мероприятия: </w:t>
      </w:r>
    </w:p>
    <w:p w14:paraId="43010000">
      <w:pPr>
        <w:pStyle w:val="Style_4"/>
        <w:spacing w:after="0" w:before="0"/>
        <w:ind w:firstLine="567" w:left="0"/>
        <w:jc w:val="both"/>
        <w:rPr>
          <w:sz w:val="28"/>
        </w:rPr>
      </w:pPr>
      <w:r>
        <w:rPr>
          <w:color w:val="000000"/>
          <w:sz w:val="28"/>
        </w:rPr>
        <w:t>1) информирование;</w:t>
      </w:r>
    </w:p>
    <w:p w14:paraId="44010000">
      <w:pPr>
        <w:pStyle w:val="Style_4"/>
        <w:spacing w:after="0" w:before="0"/>
        <w:ind w:firstLine="567" w:left="0"/>
        <w:jc w:val="both"/>
        <w:rPr>
          <w:sz w:val="28"/>
        </w:rPr>
      </w:pPr>
      <w:r>
        <w:rPr>
          <w:color w:val="000000"/>
          <w:sz w:val="28"/>
        </w:rPr>
        <w:t>2) обобщение правоприменительной практики; </w:t>
      </w:r>
    </w:p>
    <w:p w14:paraId="45010000">
      <w:pPr>
        <w:pStyle w:val="Style_4"/>
        <w:spacing w:after="0" w:before="0"/>
        <w:ind w:firstLine="567" w:left="0"/>
        <w:jc w:val="both"/>
        <w:rPr>
          <w:sz w:val="28"/>
        </w:rPr>
      </w:pPr>
      <w:r>
        <w:rPr>
          <w:color w:val="000000"/>
          <w:sz w:val="28"/>
        </w:rPr>
        <w:t>3) объявление предостережения;</w:t>
      </w:r>
    </w:p>
    <w:p w14:paraId="46010000">
      <w:pPr>
        <w:pStyle w:val="Style_4"/>
        <w:spacing w:after="0" w:before="0"/>
        <w:ind w:firstLine="567" w:left="0"/>
        <w:jc w:val="both"/>
        <w:rPr>
          <w:sz w:val="28"/>
        </w:rPr>
      </w:pPr>
      <w:r>
        <w:rPr>
          <w:color w:val="000000"/>
          <w:sz w:val="28"/>
        </w:rPr>
        <w:t>4) консультирование;</w:t>
      </w:r>
    </w:p>
    <w:p w14:paraId="47010000">
      <w:pPr>
        <w:pStyle w:val="Style_4"/>
        <w:spacing w:after="0" w:before="0"/>
        <w:ind w:firstLine="567" w:left="0"/>
        <w:jc w:val="both"/>
        <w:rPr>
          <w:sz w:val="28"/>
        </w:rPr>
      </w:pPr>
      <w:r>
        <w:rPr>
          <w:color w:val="000000"/>
          <w:sz w:val="28"/>
        </w:rPr>
        <w:t>5) профилактический визит.</w:t>
      </w:r>
    </w:p>
    <w:p w14:paraId="48010000">
      <w:pPr>
        <w:pStyle w:val="Style_4"/>
        <w:spacing w:after="0" w:before="0"/>
        <w:ind w:firstLine="567" w:left="0"/>
        <w:jc w:val="both"/>
        <w:rPr>
          <w:color w:val="000000"/>
          <w:sz w:val="28"/>
        </w:rPr>
      </w:pPr>
      <w:r>
        <w:rPr>
          <w:color w:val="000000"/>
          <w:sz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 профилактики.</w:t>
      </w:r>
    </w:p>
    <w:p w14:paraId="49010000">
      <w:pPr>
        <w:pStyle w:val="Style_4"/>
        <w:spacing w:after="0" w:before="0"/>
        <w:ind/>
        <w:jc w:val="center"/>
        <w:rPr>
          <w:b w:val="1"/>
          <w:color w:val="000000"/>
          <w:sz w:val="28"/>
        </w:rPr>
      </w:pPr>
    </w:p>
    <w:p w14:paraId="4A010000">
      <w:pPr>
        <w:pStyle w:val="Style_4"/>
        <w:spacing w:after="0" w:before="0"/>
        <w:ind/>
        <w:jc w:val="center"/>
        <w:rPr>
          <w:sz w:val="28"/>
        </w:rPr>
      </w:pPr>
      <w:r>
        <w:rPr>
          <w:b w:val="1"/>
          <w:color w:val="000000"/>
          <w:sz w:val="28"/>
        </w:rPr>
        <w:t>IV. Показатели результативности и эффективности Программы профилактики</w:t>
      </w:r>
    </w:p>
    <w:p w14:paraId="4B010000">
      <w:pPr>
        <w:pStyle w:val="Style_4"/>
        <w:spacing w:after="0" w:before="0"/>
        <w:ind/>
        <w:jc w:val="center"/>
        <w:rPr>
          <w:sz w:val="28"/>
        </w:rPr>
      </w:pPr>
    </w:p>
    <w:p w14:paraId="4C010000">
      <w:pPr>
        <w:ind w:firstLine="709" w:left="0"/>
        <w:jc w:val="both"/>
        <w:rPr>
          <w:sz w:val="28"/>
        </w:rPr>
      </w:pPr>
      <w:r>
        <w:rPr>
          <w:sz w:val="28"/>
        </w:rPr>
        <w:t>Основными критериями оценки эффективности и результативности профилактических мероприятий являются:</w:t>
      </w:r>
    </w:p>
    <w:p w14:paraId="4D010000">
      <w:pPr>
        <w:ind w:firstLine="709" w:left="0"/>
        <w:jc w:val="both"/>
        <w:rPr>
          <w:sz w:val="28"/>
        </w:rPr>
      </w:pPr>
      <w:r>
        <w:rPr>
          <w:sz w:val="28"/>
        </w:rPr>
        <w:t>- результативность деятельности Комитета;</w:t>
      </w:r>
    </w:p>
    <w:p w14:paraId="4E010000">
      <w:pPr>
        <w:ind w:firstLine="709" w:left="0"/>
        <w:jc w:val="both"/>
        <w:rPr>
          <w:sz w:val="28"/>
        </w:rPr>
      </w:pPr>
      <w:r>
        <w:rPr>
          <w:sz w:val="28"/>
        </w:rPr>
        <w:t>- 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подконтрольных субъектов в ходе мероприятий по контролю;</w:t>
      </w:r>
    </w:p>
    <w:p w14:paraId="4F010000">
      <w:pPr>
        <w:ind w:firstLine="709" w:left="0"/>
        <w:jc w:val="both"/>
        <w:rPr>
          <w:sz w:val="28"/>
        </w:rPr>
      </w:pPr>
      <w:r>
        <w:rPr>
          <w:sz w:val="28"/>
        </w:rPr>
        <w:t>- понятность обязательных требований подконтрольным субъектам;</w:t>
      </w:r>
    </w:p>
    <w:p w14:paraId="50010000">
      <w:pPr>
        <w:ind w:firstLine="709" w:left="0"/>
        <w:jc w:val="both"/>
        <w:rPr>
          <w:sz w:val="28"/>
        </w:rPr>
      </w:pPr>
      <w:r>
        <w:rPr>
          <w:sz w:val="28"/>
        </w:rPr>
        <w:t>-</w:t>
      </w:r>
      <w:r>
        <w:rPr>
          <w:sz w:val="28"/>
        </w:rPr>
        <w:t xml:space="preserve"> </w:t>
      </w:r>
      <w:r>
        <w:rPr>
          <w:sz w:val="28"/>
        </w:rPr>
        <w:t>вовлечение подконтрольных субъектов во взаимодействие с Комитетом, в том числе в рамках проводимых профилактических мероприятий.</w:t>
      </w:r>
    </w:p>
    <w:p w14:paraId="51010000">
      <w:pPr>
        <w:ind w:firstLine="709" w:left="0"/>
        <w:jc w:val="both"/>
        <w:rPr>
          <w:sz w:val="28"/>
        </w:rPr>
      </w:pPr>
      <w:r>
        <w:rPr>
          <w:sz w:val="28"/>
        </w:rPr>
        <w:t>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w:t>
      </w:r>
    </w:p>
    <w:p w14:paraId="52010000">
      <w:pPr>
        <w:widowControl w:val="0"/>
        <w:ind w:firstLine="709" w:left="0"/>
        <w:jc w:val="both"/>
        <w:rPr>
          <w:sz w:val="28"/>
        </w:rPr>
      </w:pPr>
      <w:r>
        <w:rPr>
          <w:sz w:val="28"/>
        </w:rPr>
        <w:t>- полнота информации, размещенной на официальном сайте инспекции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53010000">
      <w:pPr>
        <w:widowControl w:val="0"/>
        <w:ind w:firstLine="709" w:left="0"/>
        <w:jc w:val="both"/>
        <w:rPr>
          <w:sz w:val="28"/>
        </w:rPr>
      </w:pPr>
      <w:r>
        <w:rPr>
          <w:sz w:val="28"/>
        </w:rPr>
        <w:t>- отношение количества проведенных профилактических мероприятий без нарушений требований Федерального закона</w:t>
      </w:r>
      <w:r>
        <w:rPr>
          <w:sz w:val="28"/>
        </w:rPr>
        <w:t xml:space="preserve"> </w:t>
      </w:r>
      <w:r>
        <w:rPr>
          <w:sz w:val="28"/>
        </w:rPr>
        <w:t>от 31 июля 2021 г. № 248-ФЗ «О государственном контроле (надзоре) и муниципальном контроле в Российской Федерации» к общему количеству проведенных профилактических мероприятий;</w:t>
      </w:r>
    </w:p>
    <w:p w14:paraId="54010000">
      <w:pPr>
        <w:widowControl w:val="0"/>
        <w:ind w:firstLine="709" w:left="0"/>
        <w:jc w:val="both"/>
        <w:rPr>
          <w:sz w:val="28"/>
        </w:rPr>
      </w:pPr>
      <w:r>
        <w:rPr>
          <w:sz w:val="28"/>
        </w:rPr>
        <w:t>-</w:t>
      </w:r>
      <w:r>
        <w:rPr>
          <w:sz w:val="28"/>
        </w:rPr>
        <w:t xml:space="preserve"> общее к</w:t>
      </w:r>
      <w:r>
        <w:rPr>
          <w:sz w:val="28"/>
        </w:rPr>
        <w:t>оличество проведенных профилактических мероприятий.</w:t>
      </w:r>
    </w:p>
    <w:p w14:paraId="55010000">
      <w:pPr>
        <w:widowControl w:val="0"/>
        <w:ind w:firstLine="709" w:left="0"/>
        <w:jc w:val="both"/>
        <w:rPr>
          <w:sz w:val="28"/>
        </w:rPr>
      </w:pPr>
      <w:r>
        <w:rPr>
          <w:sz w:val="28"/>
        </w:rPr>
        <w:t xml:space="preserve">  Результаты оценки эффективности и результативности профилактических мероприятий отражаются в докладе об итогах профилактической работы, проведенной инспекцией.</w:t>
      </w:r>
    </w:p>
    <w:p w14:paraId="56010000">
      <w:pPr>
        <w:widowControl w:val="0"/>
        <w:spacing w:after="160" w:line="252" w:lineRule="auto"/>
        <w:ind w:firstLine="709" w:left="0" w:right="321"/>
        <w:contextualSpacing w:val="1"/>
        <w:jc w:val="both"/>
        <w:rPr>
          <w:sz w:val="28"/>
        </w:rPr>
      </w:pPr>
      <w:r>
        <w:rPr>
          <w:sz w:val="28"/>
        </w:rPr>
        <w:t>Оценка эффективности реализации программы рассчитывается ежегодно (по итогам календарного года) по результатам анализа характеристик достижения значений целевых показателей реализации программы.</w:t>
      </w:r>
    </w:p>
    <w:p w14:paraId="57010000">
      <w:pPr>
        <w:widowControl w:val="0"/>
        <w:spacing w:after="160" w:line="252" w:lineRule="auto"/>
        <w:ind w:firstLine="709" w:left="0" w:right="321"/>
        <w:contextualSpacing w:val="1"/>
        <w:jc w:val="both"/>
        <w:rPr>
          <w:sz w:val="28"/>
        </w:rPr>
      </w:pPr>
      <w:r>
        <w:rPr>
          <w:sz w:val="28"/>
        </w:rPr>
        <w:t>Отклонение фактического значения одного из показателей от целевого значения более чем на 20 % в сторону уменьшения,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w:t>
      </w:r>
    </w:p>
    <w:p w14:paraId="58010000">
      <w:pPr>
        <w:ind/>
        <w:jc w:val="center"/>
        <w:rPr>
          <w:b w:val="1"/>
          <w:sz w:val="28"/>
        </w:rPr>
      </w:pPr>
      <w:r>
        <w:rPr>
          <w:b w:val="1"/>
          <w:sz w:val="28"/>
        </w:rPr>
        <w:t xml:space="preserve">Показатели </w:t>
      </w:r>
    </w:p>
    <w:p w14:paraId="59010000">
      <w:pPr>
        <w:ind/>
        <w:jc w:val="center"/>
        <w:rPr>
          <w:b w:val="1"/>
          <w:sz w:val="28"/>
        </w:rPr>
      </w:pPr>
      <w:r>
        <w:rPr>
          <w:b w:val="1"/>
          <w:sz w:val="28"/>
        </w:rPr>
        <w:t xml:space="preserve">эффективности и результативности профилактических мероприятий </w:t>
      </w:r>
    </w:p>
    <w:p w14:paraId="5A010000">
      <w:pPr>
        <w:ind/>
        <w:jc w:val="center"/>
        <w:rPr>
          <w:b w:val="1"/>
          <w:sz w:val="28"/>
        </w:rPr>
      </w:pPr>
      <w:r>
        <w:rPr>
          <w:b w:val="1"/>
          <w:sz w:val="28"/>
        </w:rPr>
        <w:t>в 202</w:t>
      </w:r>
      <w:r>
        <w:rPr>
          <w:b w:val="1"/>
          <w:sz w:val="28"/>
        </w:rPr>
        <w:t>4</w:t>
      </w:r>
      <w:r>
        <w:rPr>
          <w:b w:val="1"/>
          <w:sz w:val="28"/>
        </w:rPr>
        <w:t xml:space="preserve"> году</w:t>
      </w:r>
    </w:p>
    <w:tbl>
      <w:tblPr>
        <w:tblStyle w:val="Style_2"/>
        <w:tblW w:type="auto" w:w="0"/>
        <w:tblInd w:type="dxa" w:w="62"/>
        <w:tblLayout w:type="fixed"/>
        <w:tblCellMar>
          <w:top w:type="dxa" w:w="102"/>
          <w:left w:type="dxa" w:w="62"/>
          <w:bottom w:type="dxa" w:w="102"/>
          <w:right w:type="dxa" w:w="62"/>
        </w:tblCellMar>
      </w:tblPr>
      <w:tblGrid>
        <w:gridCol w:w="510"/>
        <w:gridCol w:w="6576"/>
        <w:gridCol w:w="2837"/>
      </w:tblGrid>
      <w:tr>
        <w:tc>
          <w:tcPr>
            <w:tcW w:type="dxa" w:w="510"/>
            <w:tcBorders>
              <w:top w:color="000000" w:sz="4" w:val="single"/>
              <w:left w:color="000000" w:sz="4" w:val="single"/>
              <w:bottom w:color="000000" w:sz="4" w:val="single"/>
              <w:right w:color="000000" w:sz="4" w:val="single"/>
            </w:tcBorders>
            <w:tcMar>
              <w:top w:type="dxa" w:w="57"/>
              <w:left w:type="dxa" w:w="62"/>
              <w:bottom w:type="dxa" w:w="57"/>
              <w:right w:type="dxa" w:w="62"/>
            </w:tcMar>
          </w:tcPr>
          <w:p w14:paraId="5B010000">
            <w:pPr>
              <w:widowControl w:val="0"/>
              <w:spacing w:after="60" w:before="60" w:line="276" w:lineRule="auto"/>
              <w:ind/>
              <w:contextualSpacing w:val="1"/>
              <w:jc w:val="both"/>
              <w:rPr>
                <w:sz w:val="20"/>
              </w:rPr>
            </w:pPr>
            <w:r>
              <w:rPr>
                <w:sz w:val="20"/>
              </w:rPr>
              <w:t>№ п/п</w:t>
            </w:r>
          </w:p>
        </w:tc>
        <w:tc>
          <w:tcPr>
            <w:tcW w:type="dxa" w:w="65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5C010000">
            <w:pPr>
              <w:widowControl w:val="0"/>
              <w:spacing w:after="60" w:before="60" w:line="276" w:lineRule="auto"/>
              <w:ind/>
              <w:contextualSpacing w:val="1"/>
              <w:jc w:val="center"/>
              <w:rPr>
                <w:sz w:val="20"/>
              </w:rPr>
            </w:pPr>
            <w:r>
              <w:rPr>
                <w:sz w:val="20"/>
              </w:rPr>
              <w:t>Наименование показателя</w:t>
            </w:r>
          </w:p>
        </w:tc>
        <w:tc>
          <w:tcPr>
            <w:tcW w:type="dxa" w:w="2837"/>
            <w:tcBorders>
              <w:top w:color="000000" w:sz="4" w:val="single"/>
              <w:left w:color="000000" w:sz="4" w:val="single"/>
              <w:bottom w:color="000000" w:sz="4" w:val="single"/>
              <w:right w:color="000000" w:sz="4" w:val="single"/>
            </w:tcBorders>
            <w:tcMar>
              <w:top w:type="dxa" w:w="57"/>
              <w:left w:type="dxa" w:w="62"/>
              <w:bottom w:type="dxa" w:w="57"/>
              <w:right w:type="dxa" w:w="62"/>
            </w:tcMar>
          </w:tcPr>
          <w:p w14:paraId="5D010000">
            <w:pPr>
              <w:widowControl w:val="0"/>
              <w:spacing w:after="60" w:before="60" w:line="276" w:lineRule="auto"/>
              <w:ind/>
              <w:contextualSpacing w:val="1"/>
              <w:jc w:val="center"/>
              <w:rPr>
                <w:sz w:val="20"/>
              </w:rPr>
            </w:pPr>
            <w:r>
              <w:rPr>
                <w:sz w:val="20"/>
              </w:rPr>
              <w:t>Величина</w:t>
            </w:r>
          </w:p>
        </w:tc>
      </w:tr>
      <w:tr>
        <w:trPr>
          <w:trHeight w:hRule="atLeast" w:val="613"/>
        </w:trPr>
        <w:tc>
          <w:tcPr>
            <w:tcW w:type="dxa" w:w="510"/>
            <w:tcBorders>
              <w:top w:color="000000" w:sz="4" w:val="single"/>
              <w:left w:color="000000" w:sz="4" w:val="single"/>
              <w:bottom w:color="000000" w:sz="4" w:val="single"/>
              <w:right w:color="000000" w:sz="4" w:val="single"/>
            </w:tcBorders>
            <w:tcMar>
              <w:top w:type="dxa" w:w="57"/>
              <w:left w:type="dxa" w:w="62"/>
              <w:bottom w:type="dxa" w:w="57"/>
              <w:right w:type="dxa" w:w="62"/>
            </w:tcMar>
          </w:tcPr>
          <w:p w14:paraId="5E010000">
            <w:pPr>
              <w:widowControl w:val="0"/>
              <w:spacing w:after="60" w:before="60" w:line="276" w:lineRule="auto"/>
              <w:ind/>
              <w:contextualSpacing w:val="1"/>
              <w:jc w:val="both"/>
              <w:rPr>
                <w:sz w:val="20"/>
              </w:rPr>
            </w:pPr>
            <w:r>
              <w:rPr>
                <w:sz w:val="20"/>
              </w:rPr>
              <w:t>1.</w:t>
            </w:r>
          </w:p>
        </w:tc>
        <w:tc>
          <w:tcPr>
            <w:tcW w:type="dxa" w:w="65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5F010000">
            <w:pPr>
              <w:widowControl w:val="0"/>
              <w:spacing w:after="60" w:before="60" w:line="276" w:lineRule="auto"/>
              <w:ind/>
              <w:contextualSpacing w:val="1"/>
              <w:jc w:val="both"/>
              <w:rPr>
                <w:sz w:val="20"/>
              </w:rPr>
            </w:pPr>
            <w:r>
              <w:rPr>
                <w:sz w:val="20"/>
              </w:rPr>
              <w:t>Полнота информации, размещенной на официальном сайте инспекции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type="dxa" w:w="2837"/>
            <w:tcBorders>
              <w:top w:color="000000" w:sz="4" w:val="single"/>
              <w:left w:color="000000" w:sz="4" w:val="single"/>
              <w:bottom w:color="000000" w:sz="4" w:val="single"/>
              <w:right w:color="000000" w:sz="4" w:val="single"/>
            </w:tcBorders>
            <w:tcMar>
              <w:top w:type="dxa" w:w="57"/>
              <w:left w:type="dxa" w:w="62"/>
              <w:bottom w:type="dxa" w:w="57"/>
              <w:right w:type="dxa" w:w="62"/>
            </w:tcMar>
          </w:tcPr>
          <w:p w14:paraId="60010000">
            <w:pPr>
              <w:widowControl w:val="0"/>
              <w:spacing w:after="60" w:before="60" w:line="276" w:lineRule="auto"/>
              <w:ind/>
              <w:contextualSpacing w:val="1"/>
              <w:jc w:val="center"/>
              <w:rPr>
                <w:sz w:val="20"/>
              </w:rPr>
            </w:pPr>
            <w:r>
              <w:rPr>
                <w:sz w:val="20"/>
              </w:rPr>
              <w:t>10</w:t>
            </w:r>
            <w:r>
              <w:rPr>
                <w:sz w:val="20"/>
              </w:rPr>
              <w:t>0%</w:t>
            </w:r>
          </w:p>
        </w:tc>
      </w:tr>
      <w:tr>
        <w:tc>
          <w:tcPr>
            <w:tcW w:type="dxa" w:w="510"/>
            <w:tcBorders>
              <w:top w:color="000000" w:sz="4" w:val="single"/>
              <w:left w:color="000000" w:sz="4" w:val="single"/>
              <w:bottom w:color="000000" w:sz="4" w:val="single"/>
              <w:right w:color="000000" w:sz="4" w:val="single"/>
            </w:tcBorders>
            <w:tcMar>
              <w:top w:type="dxa" w:w="57"/>
              <w:left w:type="dxa" w:w="62"/>
              <w:bottom w:type="dxa" w:w="57"/>
              <w:right w:type="dxa" w:w="62"/>
            </w:tcMar>
          </w:tcPr>
          <w:p w14:paraId="61010000">
            <w:pPr>
              <w:widowControl w:val="0"/>
              <w:spacing w:after="60" w:before="60" w:line="276" w:lineRule="auto"/>
              <w:ind/>
              <w:contextualSpacing w:val="1"/>
              <w:jc w:val="both"/>
              <w:rPr>
                <w:sz w:val="20"/>
              </w:rPr>
            </w:pPr>
            <w:r>
              <w:rPr>
                <w:sz w:val="20"/>
              </w:rPr>
              <w:t>2.</w:t>
            </w:r>
          </w:p>
        </w:tc>
        <w:tc>
          <w:tcPr>
            <w:tcW w:type="dxa" w:w="65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62010000">
            <w:pPr>
              <w:widowControl w:val="0"/>
              <w:spacing w:after="60" w:before="60" w:line="276" w:lineRule="auto"/>
              <w:ind/>
              <w:contextualSpacing w:val="1"/>
              <w:jc w:val="both"/>
              <w:rPr>
                <w:sz w:val="20"/>
              </w:rPr>
            </w:pPr>
            <w:r>
              <w:rPr>
                <w:sz w:val="20"/>
              </w:rPr>
              <w:t>Отношение количества проведенных профилактических мероприятий без нарушений требований Федерального закона от 31 июля 2021 г. № 248-ФЗ «О государственном контроле (надзоре) и муниципальном контроле в Российской Федерации» к общему количеству проведенных профилактических мероприятий</w:t>
            </w:r>
          </w:p>
        </w:tc>
        <w:tc>
          <w:tcPr>
            <w:tcW w:type="dxa" w:w="2837"/>
            <w:tcBorders>
              <w:top w:color="000000" w:sz="4" w:val="single"/>
              <w:left w:color="000000" w:sz="4" w:val="single"/>
              <w:bottom w:color="000000" w:sz="4" w:val="single"/>
              <w:right w:color="000000" w:sz="4" w:val="single"/>
            </w:tcBorders>
            <w:tcMar>
              <w:top w:type="dxa" w:w="57"/>
              <w:left w:type="dxa" w:w="62"/>
              <w:bottom w:type="dxa" w:w="57"/>
              <w:right w:type="dxa" w:w="62"/>
            </w:tcMar>
          </w:tcPr>
          <w:p w14:paraId="63010000">
            <w:pPr>
              <w:widowControl w:val="0"/>
              <w:spacing w:after="60" w:before="60" w:line="276" w:lineRule="auto"/>
              <w:ind/>
              <w:contextualSpacing w:val="1"/>
              <w:jc w:val="center"/>
              <w:rPr>
                <w:sz w:val="20"/>
              </w:rPr>
            </w:pPr>
            <w:r>
              <w:rPr>
                <w:sz w:val="20"/>
              </w:rPr>
              <w:t>100</w:t>
            </w:r>
            <w:r>
              <w:rPr>
                <w:sz w:val="20"/>
              </w:rPr>
              <w:t>%</w:t>
            </w:r>
          </w:p>
        </w:tc>
      </w:tr>
      <w:tr>
        <w:tc>
          <w:tcPr>
            <w:tcW w:type="dxa" w:w="510"/>
            <w:tcBorders>
              <w:top w:color="000000" w:sz="4" w:val="single"/>
              <w:left w:color="000000" w:sz="4" w:val="single"/>
              <w:bottom w:color="000000" w:sz="4" w:val="single"/>
              <w:right w:color="000000" w:sz="4" w:val="single"/>
            </w:tcBorders>
            <w:tcMar>
              <w:top w:type="dxa" w:w="57"/>
              <w:left w:type="dxa" w:w="62"/>
              <w:bottom w:type="dxa" w:w="57"/>
              <w:right w:type="dxa" w:w="62"/>
            </w:tcMar>
          </w:tcPr>
          <w:p w14:paraId="64010000">
            <w:pPr>
              <w:widowControl w:val="0"/>
              <w:spacing w:after="60" w:before="60" w:line="276" w:lineRule="auto"/>
              <w:ind/>
              <w:contextualSpacing w:val="1"/>
              <w:jc w:val="both"/>
              <w:rPr>
                <w:sz w:val="20"/>
              </w:rPr>
            </w:pPr>
            <w:r>
              <w:rPr>
                <w:sz w:val="20"/>
              </w:rPr>
              <w:t>3</w:t>
            </w:r>
            <w:r>
              <w:rPr>
                <w:sz w:val="20"/>
              </w:rPr>
              <w:t>.</w:t>
            </w:r>
          </w:p>
        </w:tc>
        <w:tc>
          <w:tcPr>
            <w:tcW w:type="dxa" w:w="65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65010000">
            <w:pPr>
              <w:widowControl w:val="0"/>
              <w:spacing w:after="60" w:before="60" w:line="276" w:lineRule="auto"/>
              <w:ind/>
              <w:contextualSpacing w:val="1"/>
              <w:jc w:val="both"/>
              <w:rPr>
                <w:sz w:val="20"/>
              </w:rPr>
            </w:pPr>
            <w:r>
              <w:rPr>
                <w:sz w:val="20"/>
              </w:rPr>
              <w:t>Количество проведенных профилактических мероприятий</w:t>
            </w:r>
          </w:p>
        </w:tc>
        <w:tc>
          <w:tcPr>
            <w:tcW w:type="dxa" w:w="2837"/>
            <w:tcBorders>
              <w:top w:color="000000" w:sz="4" w:val="single"/>
              <w:left w:color="000000" w:sz="4" w:val="single"/>
              <w:bottom w:color="000000" w:sz="4" w:val="single"/>
              <w:right w:color="000000" w:sz="4" w:val="single"/>
            </w:tcBorders>
            <w:tcMar>
              <w:top w:type="dxa" w:w="57"/>
              <w:left w:type="dxa" w:w="62"/>
              <w:bottom w:type="dxa" w:w="57"/>
              <w:right w:type="dxa" w:w="62"/>
            </w:tcMar>
          </w:tcPr>
          <w:p w14:paraId="66010000">
            <w:pPr>
              <w:widowControl w:val="0"/>
              <w:spacing w:after="60" w:before="60" w:line="276" w:lineRule="auto"/>
              <w:ind/>
              <w:contextualSpacing w:val="1"/>
              <w:jc w:val="center"/>
              <w:rPr>
                <w:sz w:val="20"/>
              </w:rPr>
            </w:pPr>
            <w:r>
              <w:rPr>
                <w:sz w:val="20"/>
              </w:rPr>
              <w:t>2</w:t>
            </w:r>
            <w:r>
              <w:rPr>
                <w:sz w:val="20"/>
              </w:rPr>
              <w:t>0%</w:t>
            </w:r>
          </w:p>
        </w:tc>
      </w:tr>
    </w:tbl>
    <w:p w14:paraId="67010000">
      <w:pPr>
        <w:pStyle w:val="Style_4"/>
        <w:spacing w:after="0" w:before="0"/>
        <w:ind w:firstLine="709" w:left="0"/>
        <w:jc w:val="both"/>
        <w:rPr>
          <w:color w:val="000000"/>
          <w:sz w:val="28"/>
        </w:rPr>
      </w:pPr>
      <w:r>
        <w:rPr>
          <w:sz w:val="28"/>
        </w:rPr>
        <w:t>Итоговая оценка эффективности реализации программы профилактики рассчитывается по шкале</w:t>
      </w:r>
      <w:r>
        <w:rPr>
          <w:color w:val="000000"/>
          <w:sz w:val="28"/>
        </w:rPr>
        <w:t xml:space="preserve"> </w:t>
      </w:r>
    </w:p>
    <w:p w14:paraId="68010000">
      <w:pPr>
        <w:pStyle w:val="Style_4"/>
        <w:spacing w:after="0" w:before="0"/>
        <w:ind/>
        <w:jc w:val="right"/>
        <w:rPr>
          <w:color w:val="000000"/>
          <w:sz w:val="28"/>
        </w:rPr>
      </w:pPr>
    </w:p>
    <w:tbl>
      <w:tblPr>
        <w:tblStyle w:val="Style_2"/>
        <w:tblW w:type="auto" w:w="0"/>
        <w:tblInd w:type="dxa" w:w="62"/>
        <w:tblLayout w:type="fixed"/>
        <w:tblCellMar>
          <w:top w:type="dxa" w:w="102"/>
          <w:left w:type="dxa" w:w="62"/>
          <w:bottom w:type="dxa" w:w="102"/>
          <w:right w:type="dxa" w:w="62"/>
        </w:tblCellMar>
      </w:tblPr>
      <w:tblGrid>
        <w:gridCol w:w="1985"/>
        <w:gridCol w:w="1984"/>
        <w:gridCol w:w="1985"/>
        <w:gridCol w:w="1984"/>
        <w:gridCol w:w="1985"/>
      </w:tblGrid>
      <w:tr>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r>
              <w:t>Итоговая оценка эффективности реализации программы профилактики</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r>
              <w:t>Выполнено менее 50% профилактических мероприятий</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r>
              <w:t xml:space="preserve">Выполнено </w:t>
            </w:r>
            <w:r>
              <w:br/>
            </w:r>
            <w:r>
              <w:t xml:space="preserve">от 51% до 80% профилактических мероприятий </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r>
              <w:t xml:space="preserve">Выполнено </w:t>
            </w:r>
          </w:p>
          <w:p w14:paraId="6D010000">
            <w:r>
              <w:t>от 81% до 90% профилактических мероприятий</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r>
              <w:t xml:space="preserve">Выполнено </w:t>
            </w:r>
            <w:r>
              <w:br/>
            </w:r>
            <w:r>
              <w:t>от 91% до 100% профилактических мероприятий</w:t>
            </w:r>
          </w:p>
        </w:tc>
      </w:tr>
      <w:tr>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r>
              <w:t>Уровень результативности профилактической работы контрольного (надзорного) органа</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r>
              <w:t>Недопустимый уровень</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r>
              <w:t>Низкий уровень</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r>
              <w:t>Плановый уровень</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r>
              <w:t>Уровень лидерства</w:t>
            </w:r>
          </w:p>
        </w:tc>
      </w:tr>
    </w:tbl>
    <w:p w14:paraId="74010000">
      <w:pPr>
        <w:pStyle w:val="Style_4"/>
        <w:spacing w:after="0" w:before="0"/>
        <w:ind/>
        <w:jc w:val="right"/>
        <w:rPr>
          <w:color w:val="000000"/>
          <w:sz w:val="28"/>
        </w:rPr>
      </w:pPr>
    </w:p>
    <w:p w14:paraId="75010000">
      <w:pPr>
        <w:sectPr>
          <w:headerReference r:id="rId1" w:type="first"/>
          <w:pgSz w:h="16840" w:orient="portrait" w:w="11907"/>
          <w:pgMar w:bottom="1134" w:footer="680" w:gutter="0" w:header="680" w:left="1701" w:right="851" w:top="1134"/>
          <w:pgNumType w:start="1"/>
          <w:titlePg/>
        </w:sectPr>
      </w:pPr>
    </w:p>
    <w:p w14:paraId="76010000">
      <w:pPr>
        <w:pStyle w:val="Style_4"/>
        <w:spacing w:after="0" w:before="0"/>
        <w:ind/>
        <w:jc w:val="right"/>
        <w:rPr>
          <w:color w:val="000000"/>
          <w:sz w:val="28"/>
        </w:rPr>
      </w:pPr>
      <w:r>
        <w:rPr>
          <w:color w:val="000000"/>
          <w:sz w:val="28"/>
        </w:rPr>
        <w:t xml:space="preserve">Приложение к Программе профилактики рисков </w:t>
      </w:r>
    </w:p>
    <w:p w14:paraId="77010000">
      <w:pPr>
        <w:pStyle w:val="Style_4"/>
        <w:spacing w:after="0" w:before="0"/>
        <w:ind/>
        <w:jc w:val="right"/>
        <w:rPr>
          <w:color w:val="000000"/>
          <w:sz w:val="28"/>
        </w:rPr>
      </w:pPr>
      <w:r>
        <w:rPr>
          <w:color w:val="000000"/>
          <w:sz w:val="28"/>
        </w:rPr>
        <w:t xml:space="preserve">причинения вреда (ущерба) охраняемым законом ценностям </w:t>
      </w:r>
    </w:p>
    <w:p w14:paraId="78010000">
      <w:pPr>
        <w:pStyle w:val="Style_4"/>
        <w:spacing w:after="0" w:before="0"/>
        <w:ind/>
        <w:jc w:val="right"/>
        <w:rPr>
          <w:color w:val="000000"/>
          <w:sz w:val="28"/>
        </w:rPr>
      </w:pPr>
      <w:r>
        <w:rPr>
          <w:color w:val="000000"/>
          <w:sz w:val="28"/>
        </w:rPr>
        <w:t xml:space="preserve">при осуществлении </w:t>
      </w:r>
      <w:r>
        <w:rPr>
          <w:color w:val="000000"/>
          <w:sz w:val="28"/>
        </w:rPr>
        <w:t>регионального</w:t>
      </w:r>
      <w:r>
        <w:rPr>
          <w:color w:val="000000"/>
          <w:sz w:val="28"/>
        </w:rPr>
        <w:t xml:space="preserve"> государственного контроля (надзора) </w:t>
      </w:r>
    </w:p>
    <w:p w14:paraId="79010000">
      <w:pPr>
        <w:pStyle w:val="Style_4"/>
        <w:spacing w:after="0" w:before="0"/>
        <w:ind/>
        <w:jc w:val="right"/>
        <w:rPr>
          <w:color w:val="000000"/>
          <w:sz w:val="28"/>
        </w:rPr>
      </w:pPr>
      <w:r>
        <w:rPr>
          <w:color w:val="000000"/>
          <w:sz w:val="28"/>
        </w:rPr>
        <w:t xml:space="preserve">за состоянием, содержанием, сохранением, </w:t>
      </w:r>
    </w:p>
    <w:p w14:paraId="7A010000">
      <w:pPr>
        <w:pStyle w:val="Style_4"/>
        <w:spacing w:after="0" w:before="0"/>
        <w:ind/>
        <w:jc w:val="right"/>
        <w:rPr>
          <w:color w:val="000000"/>
          <w:sz w:val="28"/>
        </w:rPr>
      </w:pPr>
      <w:r>
        <w:rPr>
          <w:color w:val="000000"/>
          <w:sz w:val="28"/>
        </w:rPr>
        <w:t xml:space="preserve">использованием, популяризацией </w:t>
      </w:r>
    </w:p>
    <w:p w14:paraId="7B010000">
      <w:pPr>
        <w:pStyle w:val="Style_4"/>
        <w:spacing w:after="0" w:before="0"/>
        <w:ind/>
        <w:jc w:val="right"/>
        <w:rPr>
          <w:color w:val="000000"/>
          <w:sz w:val="28"/>
        </w:rPr>
      </w:pPr>
      <w:r>
        <w:rPr>
          <w:color w:val="000000"/>
          <w:sz w:val="28"/>
        </w:rPr>
        <w:t xml:space="preserve">и государственной охраной объектов культурного наследия </w:t>
      </w:r>
    </w:p>
    <w:p w14:paraId="7C010000">
      <w:pPr>
        <w:pStyle w:val="Style_4"/>
        <w:spacing w:after="0" w:before="0"/>
        <w:ind/>
        <w:jc w:val="right"/>
        <w:rPr>
          <w:color w:val="000000"/>
          <w:sz w:val="28"/>
        </w:rPr>
      </w:pPr>
      <w:r>
        <w:rPr>
          <w:color w:val="000000"/>
          <w:sz w:val="28"/>
        </w:rPr>
        <w:t xml:space="preserve">федерального значения на территории </w:t>
      </w:r>
    </w:p>
    <w:p w14:paraId="7D010000">
      <w:pPr>
        <w:pStyle w:val="Style_4"/>
        <w:spacing w:after="0" w:before="0"/>
        <w:ind/>
        <w:jc w:val="right"/>
        <w:rPr>
          <w:color w:val="000000"/>
          <w:sz w:val="28"/>
        </w:rPr>
      </w:pPr>
      <w:r>
        <w:rPr>
          <w:color w:val="000000"/>
          <w:sz w:val="28"/>
        </w:rPr>
        <w:t>Чукотского автономного округа</w:t>
      </w:r>
      <w:r>
        <w:rPr>
          <w:color w:val="000000"/>
          <w:sz w:val="28"/>
        </w:rPr>
        <w:t xml:space="preserve"> на 202</w:t>
      </w:r>
      <w:r>
        <w:rPr>
          <w:color w:val="000000"/>
          <w:sz w:val="28"/>
        </w:rPr>
        <w:t>5</w:t>
      </w:r>
      <w:r>
        <w:rPr>
          <w:color w:val="000000"/>
          <w:sz w:val="28"/>
        </w:rPr>
        <w:t xml:space="preserve"> год</w:t>
      </w:r>
    </w:p>
    <w:p w14:paraId="7E010000">
      <w:pPr>
        <w:pStyle w:val="Style_4"/>
        <w:spacing w:after="0" w:before="0"/>
        <w:ind/>
        <w:jc w:val="center"/>
        <w:rPr>
          <w:sz w:val="28"/>
        </w:rPr>
      </w:pPr>
      <w:r>
        <w:rPr>
          <w:b w:val="1"/>
          <w:color w:val="000000"/>
          <w:sz w:val="28"/>
        </w:rPr>
        <w:t>Перечень профилактических мероприятий, </w:t>
      </w:r>
    </w:p>
    <w:p w14:paraId="7F010000">
      <w:pPr>
        <w:pStyle w:val="Style_4"/>
        <w:spacing w:after="0" w:before="0"/>
        <w:ind/>
        <w:jc w:val="center"/>
        <w:rPr>
          <w:sz w:val="28"/>
        </w:rPr>
      </w:pPr>
      <w:r>
        <w:rPr>
          <w:b w:val="1"/>
          <w:color w:val="000000"/>
          <w:sz w:val="28"/>
        </w:rPr>
        <w:t>сроки (периодичность) их проведения</w:t>
      </w: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59"/>
        <w:gridCol w:w="3827"/>
        <w:gridCol w:w="5812"/>
        <w:gridCol w:w="4252"/>
      </w:tblGrid>
      <w:tr>
        <w:trPr>
          <w:trHeight w:hRule="atLeast" w:val="776"/>
          <w:tblHeader/>
        </w:trPr>
        <w:tc>
          <w:tcPr>
            <w:tcW w:type="dxa" w:w="959"/>
            <w:tcBorders>
              <w:top w:color="000000" w:sz="4" w:val="single"/>
              <w:left w:color="000000" w:sz="4" w:val="single"/>
              <w:bottom w:color="000000" w:sz="4" w:val="single"/>
              <w:right w:color="000000" w:sz="4" w:val="single"/>
            </w:tcBorders>
            <w:vAlign w:val="center"/>
          </w:tcPr>
          <w:p w14:paraId="80010000">
            <w:pPr>
              <w:spacing w:after="200" w:line="276" w:lineRule="auto"/>
              <w:ind/>
              <w:jc w:val="center"/>
              <w:rPr>
                <w:sz w:val="28"/>
              </w:rPr>
            </w:pPr>
            <w:r>
              <w:rPr>
                <w:sz w:val="28"/>
              </w:rPr>
              <w:t>№ п/п</w:t>
            </w:r>
          </w:p>
        </w:tc>
        <w:tc>
          <w:tcPr>
            <w:tcW w:type="dxa" w:w="3827"/>
            <w:tcBorders>
              <w:top w:color="000000" w:sz="4" w:val="single"/>
              <w:left w:color="000000" w:sz="4" w:val="single"/>
              <w:bottom w:color="000000" w:sz="4" w:val="single"/>
              <w:right w:color="000000" w:sz="4" w:val="single"/>
            </w:tcBorders>
            <w:vAlign w:val="center"/>
          </w:tcPr>
          <w:p w14:paraId="81010000">
            <w:pPr>
              <w:spacing w:after="200" w:line="276" w:lineRule="auto"/>
              <w:ind/>
              <w:jc w:val="center"/>
              <w:rPr>
                <w:sz w:val="28"/>
              </w:rPr>
            </w:pPr>
            <w:r>
              <w:rPr>
                <w:sz w:val="28"/>
              </w:rPr>
              <w:t>Наименование профилактического мероприятия</w:t>
            </w:r>
          </w:p>
        </w:tc>
        <w:tc>
          <w:tcPr>
            <w:tcW w:type="dxa" w:w="5812"/>
            <w:tcBorders>
              <w:top w:color="000000" w:sz="4" w:val="single"/>
              <w:left w:color="000000" w:sz="4" w:val="single"/>
              <w:bottom w:color="000000" w:sz="4" w:val="single"/>
              <w:right w:color="000000" w:sz="4" w:val="single"/>
            </w:tcBorders>
            <w:vAlign w:val="center"/>
          </w:tcPr>
          <w:p w14:paraId="82010000">
            <w:pPr>
              <w:spacing w:after="200" w:line="276" w:lineRule="auto"/>
              <w:ind/>
              <w:jc w:val="center"/>
              <w:rPr>
                <w:sz w:val="28"/>
              </w:rPr>
            </w:pPr>
            <w:r>
              <w:rPr>
                <w:sz w:val="28"/>
              </w:rPr>
              <w:t>Срок выполнения мероприятия</w:t>
            </w:r>
          </w:p>
        </w:tc>
        <w:tc>
          <w:tcPr>
            <w:tcW w:type="dxa" w:w="4252"/>
            <w:tcBorders>
              <w:top w:color="000000" w:sz="4" w:val="single"/>
              <w:left w:color="000000" w:sz="4" w:val="single"/>
              <w:bottom w:color="000000" w:sz="4" w:val="single"/>
              <w:right w:color="000000" w:sz="4" w:val="single"/>
            </w:tcBorders>
            <w:vAlign w:val="center"/>
          </w:tcPr>
          <w:p w14:paraId="83010000">
            <w:pPr>
              <w:spacing w:after="200" w:line="276" w:lineRule="auto"/>
              <w:ind/>
              <w:jc w:val="center"/>
              <w:rPr>
                <w:sz w:val="28"/>
              </w:rPr>
            </w:pPr>
            <w:r>
              <w:rPr>
                <w:sz w:val="28"/>
              </w:rPr>
              <w:t xml:space="preserve">Ответственный </w:t>
            </w:r>
          </w:p>
          <w:p w14:paraId="84010000">
            <w:pPr>
              <w:spacing w:after="200" w:line="276" w:lineRule="auto"/>
              <w:ind/>
              <w:jc w:val="center"/>
              <w:rPr>
                <w:sz w:val="28"/>
              </w:rPr>
            </w:pPr>
            <w:r>
              <w:rPr>
                <w:sz w:val="28"/>
              </w:rPr>
              <w:t>за исполнение</w:t>
            </w:r>
          </w:p>
        </w:tc>
      </w:tr>
      <w:tr>
        <w:trPr>
          <w:tblHeader/>
        </w:trPr>
        <w:tc>
          <w:tcPr>
            <w:tcW w:type="dxa" w:w="959"/>
            <w:tcBorders>
              <w:top w:color="000000" w:sz="4" w:val="single"/>
              <w:left w:color="000000" w:sz="4" w:val="single"/>
              <w:bottom w:color="000000" w:sz="4" w:val="single"/>
              <w:right w:color="000000" w:sz="4" w:val="single"/>
            </w:tcBorders>
            <w:vAlign w:val="center"/>
          </w:tcPr>
          <w:p w14:paraId="85010000">
            <w:pPr>
              <w:spacing w:after="60" w:before="60" w:line="276" w:lineRule="auto"/>
              <w:ind w:firstLine="34" w:left="0"/>
              <w:contextualSpacing w:val="1"/>
              <w:jc w:val="center"/>
              <w:rPr>
                <w:sz w:val="28"/>
              </w:rPr>
            </w:pPr>
            <w:r>
              <w:rPr>
                <w:sz w:val="28"/>
              </w:rPr>
              <w:t>1</w:t>
            </w:r>
          </w:p>
        </w:tc>
        <w:tc>
          <w:tcPr>
            <w:tcW w:type="dxa" w:w="3827"/>
            <w:tcBorders>
              <w:top w:color="000000" w:sz="4" w:val="single"/>
              <w:left w:color="000000" w:sz="4" w:val="single"/>
              <w:bottom w:color="000000" w:sz="4" w:val="single"/>
              <w:right w:color="000000" w:sz="4" w:val="single"/>
            </w:tcBorders>
            <w:vAlign w:val="center"/>
          </w:tcPr>
          <w:p w14:paraId="86010000">
            <w:pPr>
              <w:spacing w:after="60" w:before="60" w:line="276" w:lineRule="auto"/>
              <w:ind w:firstLine="34" w:left="0"/>
              <w:contextualSpacing w:val="1"/>
              <w:jc w:val="center"/>
              <w:rPr>
                <w:sz w:val="28"/>
              </w:rPr>
            </w:pPr>
            <w:r>
              <w:rPr>
                <w:sz w:val="28"/>
              </w:rPr>
              <w:t>2</w:t>
            </w:r>
          </w:p>
        </w:tc>
        <w:tc>
          <w:tcPr>
            <w:tcW w:type="dxa" w:w="5812"/>
            <w:tcBorders>
              <w:top w:color="000000" w:sz="4" w:val="single"/>
              <w:left w:color="000000" w:sz="4" w:val="single"/>
              <w:bottom w:color="000000" w:sz="4" w:val="single"/>
              <w:right w:color="000000" w:sz="4" w:val="single"/>
            </w:tcBorders>
            <w:vAlign w:val="center"/>
          </w:tcPr>
          <w:p w14:paraId="87010000">
            <w:pPr>
              <w:spacing w:after="60" w:before="60" w:line="276" w:lineRule="auto"/>
              <w:ind w:firstLine="34" w:left="0"/>
              <w:contextualSpacing w:val="1"/>
              <w:jc w:val="center"/>
              <w:rPr>
                <w:sz w:val="28"/>
              </w:rPr>
            </w:pPr>
            <w:r>
              <w:rPr>
                <w:sz w:val="28"/>
              </w:rPr>
              <w:t>3</w:t>
            </w:r>
          </w:p>
        </w:tc>
        <w:tc>
          <w:tcPr>
            <w:tcW w:type="dxa" w:w="4252"/>
            <w:tcBorders>
              <w:top w:color="000000" w:sz="4" w:val="single"/>
              <w:left w:color="000000" w:sz="4" w:val="single"/>
              <w:bottom w:color="000000" w:sz="4" w:val="single"/>
              <w:right w:color="000000" w:sz="4" w:val="single"/>
            </w:tcBorders>
            <w:vAlign w:val="center"/>
          </w:tcPr>
          <w:p w14:paraId="88010000">
            <w:pPr>
              <w:spacing w:after="60" w:before="60" w:line="276" w:lineRule="auto"/>
              <w:ind w:firstLine="34" w:left="0"/>
              <w:contextualSpacing w:val="1"/>
              <w:jc w:val="center"/>
              <w:rPr>
                <w:sz w:val="28"/>
              </w:rPr>
            </w:pPr>
            <w:r>
              <w:rPr>
                <w:sz w:val="28"/>
              </w:rPr>
              <w:t>4</w:t>
            </w:r>
          </w:p>
        </w:tc>
      </w:tr>
      <w:tr>
        <w:trPr>
          <w:trHeight w:hRule="atLeast" w:val="2903"/>
        </w:trPr>
        <w:tc>
          <w:tcPr>
            <w:tcW w:type="dxa" w:w="959"/>
            <w:tcBorders>
              <w:top w:color="000000" w:sz="4" w:val="single"/>
              <w:left w:color="000000" w:sz="4" w:val="single"/>
              <w:bottom w:color="000000" w:sz="4" w:val="single"/>
              <w:right w:color="000000" w:sz="4" w:val="single"/>
            </w:tcBorders>
          </w:tcPr>
          <w:p w14:paraId="89010000">
            <w:pPr>
              <w:spacing w:after="200" w:before="60" w:line="276" w:lineRule="auto"/>
              <w:ind w:firstLine="0" w:left="426"/>
              <w:contextualSpacing w:val="1"/>
              <w:jc w:val="center"/>
              <w:rPr>
                <w:sz w:val="28"/>
              </w:rPr>
            </w:pPr>
            <w:r>
              <w:rPr>
                <w:sz w:val="28"/>
              </w:rPr>
              <w:t>1.</w:t>
            </w:r>
          </w:p>
        </w:tc>
        <w:tc>
          <w:tcPr>
            <w:tcW w:type="dxa" w:w="3827"/>
            <w:tcBorders>
              <w:top w:color="000000" w:sz="4" w:val="single"/>
              <w:left w:color="000000" w:sz="4" w:val="single"/>
              <w:bottom w:color="000000" w:sz="4" w:val="single"/>
              <w:right w:color="000000" w:sz="4" w:val="single"/>
            </w:tcBorders>
          </w:tcPr>
          <w:p w14:paraId="8A010000">
            <w:pPr>
              <w:spacing w:after="60" w:before="60" w:line="276" w:lineRule="auto"/>
              <w:ind/>
              <w:contextualSpacing w:val="1"/>
              <w:jc w:val="both"/>
              <w:rPr>
                <w:spacing w:val="-6"/>
                <w:sz w:val="28"/>
              </w:rPr>
            </w:pPr>
            <w:r>
              <w:rPr>
                <w:spacing w:val="-6"/>
                <w:sz w:val="28"/>
              </w:rPr>
              <w:t>Информирование по вопросам соблюдения обязательных требований</w:t>
            </w:r>
          </w:p>
        </w:tc>
        <w:tc>
          <w:tcPr>
            <w:tcW w:type="dxa" w:w="5812"/>
            <w:tcBorders>
              <w:top w:color="000000" w:sz="4" w:val="single"/>
              <w:left w:color="000000" w:sz="4" w:val="single"/>
              <w:bottom w:color="000000" w:sz="4" w:val="single"/>
              <w:right w:color="000000" w:sz="4" w:val="single"/>
            </w:tcBorders>
          </w:tcPr>
          <w:p w14:paraId="8B010000">
            <w:pPr>
              <w:spacing w:after="200" w:line="276" w:lineRule="auto"/>
              <w:ind/>
              <w:jc w:val="both"/>
              <w:rPr>
                <w:sz w:val="28"/>
              </w:rPr>
            </w:pPr>
            <w:r>
              <w:rPr>
                <w:sz w:val="28"/>
              </w:rPr>
              <w:t>в течение 15 дней с момента принятия нормативных правовых актов, программ, перечней, руководств и иных сведений или внесения в них изменений</w:t>
            </w:r>
          </w:p>
        </w:tc>
        <w:tc>
          <w:tcPr>
            <w:tcW w:type="dxa" w:w="4252"/>
            <w:tcBorders>
              <w:top w:color="000000" w:sz="4" w:val="single"/>
              <w:left w:color="000000" w:sz="4" w:val="single"/>
              <w:bottom w:color="000000" w:sz="4" w:val="single"/>
              <w:right w:color="000000" w:sz="4" w:val="single"/>
            </w:tcBorders>
          </w:tcPr>
          <w:p w14:paraId="8C010000">
            <w:pPr>
              <w:ind/>
              <w:jc w:val="both"/>
              <w:rPr>
                <w:sz w:val="28"/>
              </w:rPr>
            </w:pPr>
            <w:r>
              <w:rPr>
                <w:sz w:val="28"/>
              </w:rPr>
              <w:t>Специалист уполномоченный</w:t>
            </w:r>
            <w:r>
              <w:rPr>
                <w:sz w:val="28"/>
              </w:rPr>
              <w:t xml:space="preserve"> </w:t>
            </w:r>
          </w:p>
          <w:p w14:paraId="8D010000">
            <w:pPr>
              <w:ind/>
              <w:jc w:val="both"/>
              <w:rPr>
                <w:sz w:val="28"/>
              </w:rPr>
            </w:pPr>
            <w:r>
              <w:rPr>
                <w:sz w:val="28"/>
              </w:rPr>
              <w:t>о</w:t>
            </w:r>
            <w:r>
              <w:rPr>
                <w:sz w:val="28"/>
              </w:rPr>
              <w:t>существл</w:t>
            </w:r>
            <w:r>
              <w:rPr>
                <w:sz w:val="28"/>
              </w:rPr>
              <w:t>ять контроль  (надзор)</w:t>
            </w:r>
            <w:r>
              <w:rPr>
                <w:sz w:val="28"/>
              </w:rPr>
              <w:t xml:space="preserve"> за состоянием, содержанием, сохранением, использованием и популяри</w:t>
            </w:r>
            <w:r>
              <w:rPr>
                <w:b w:val="1"/>
                <w:sz w:val="28"/>
              </w:rPr>
              <w:t>з</w:t>
            </w:r>
            <w:r>
              <w:rPr>
                <w:sz w:val="28"/>
              </w:rPr>
              <w:t xml:space="preserve">ацией объектов культурного наследия </w:t>
            </w:r>
            <w:r>
              <w:rPr>
                <w:sz w:val="28"/>
              </w:rPr>
              <w:t>.</w:t>
            </w:r>
          </w:p>
        </w:tc>
      </w:tr>
      <w:tr>
        <w:tc>
          <w:tcPr>
            <w:tcW w:type="dxa" w:w="959"/>
            <w:tcBorders>
              <w:top w:color="000000" w:sz="4" w:val="single"/>
              <w:left w:color="000000" w:sz="4" w:val="single"/>
              <w:bottom w:color="000000" w:sz="4" w:val="single"/>
              <w:right w:color="000000" w:sz="4" w:val="single"/>
            </w:tcBorders>
          </w:tcPr>
          <w:p w14:paraId="8E010000">
            <w:pPr>
              <w:spacing w:after="200" w:before="60" w:line="276" w:lineRule="auto"/>
              <w:ind w:firstLine="0" w:left="426"/>
              <w:contextualSpacing w:val="1"/>
              <w:jc w:val="center"/>
              <w:rPr>
                <w:sz w:val="28"/>
              </w:rPr>
            </w:pPr>
            <w:r>
              <w:rPr>
                <w:sz w:val="28"/>
              </w:rPr>
              <w:t>2.</w:t>
            </w:r>
          </w:p>
        </w:tc>
        <w:tc>
          <w:tcPr>
            <w:tcW w:type="dxa" w:w="3827"/>
            <w:tcBorders>
              <w:top w:color="000000" w:sz="4" w:val="single"/>
              <w:left w:color="000000" w:sz="4" w:val="single"/>
              <w:bottom w:color="000000" w:sz="4" w:val="single"/>
              <w:right w:color="000000" w:sz="4" w:val="single"/>
            </w:tcBorders>
          </w:tcPr>
          <w:p w14:paraId="8F010000">
            <w:pPr>
              <w:spacing w:after="60" w:before="60" w:line="276" w:lineRule="auto"/>
              <w:ind/>
              <w:contextualSpacing w:val="1"/>
              <w:jc w:val="both"/>
              <w:rPr>
                <w:sz w:val="28"/>
              </w:rPr>
            </w:pPr>
            <w:r>
              <w:rPr>
                <w:sz w:val="28"/>
              </w:rPr>
              <w:t>Обобщение правоприменительной практики</w:t>
            </w:r>
          </w:p>
          <w:p w14:paraId="90010000">
            <w:pPr>
              <w:spacing w:after="60" w:before="60" w:line="276" w:lineRule="auto"/>
              <w:ind/>
              <w:contextualSpacing w:val="1"/>
              <w:jc w:val="both"/>
              <w:rPr>
                <w:sz w:val="28"/>
              </w:rPr>
            </w:pPr>
          </w:p>
        </w:tc>
        <w:tc>
          <w:tcPr>
            <w:tcW w:type="dxa" w:w="5812"/>
            <w:tcBorders>
              <w:top w:color="000000" w:sz="4" w:val="single"/>
              <w:left w:color="000000" w:sz="4" w:val="single"/>
              <w:bottom w:color="000000" w:sz="4" w:val="single"/>
              <w:right w:color="000000" w:sz="4" w:val="single"/>
            </w:tcBorders>
          </w:tcPr>
          <w:p w14:paraId="91010000">
            <w:pPr>
              <w:spacing w:after="60" w:before="60" w:line="276" w:lineRule="auto"/>
              <w:ind/>
              <w:contextualSpacing w:val="1"/>
              <w:jc w:val="both"/>
              <w:rPr>
                <w:sz w:val="28"/>
              </w:rPr>
            </w:pPr>
            <w:r>
              <w:rPr>
                <w:sz w:val="28"/>
              </w:rPr>
              <w:t>Срок подготовки доклада и размещение на официальном интернет-сайте Комитета - не позднее 1 февраля года, следующего за отчетным</w:t>
            </w:r>
            <w:r>
              <w:rPr>
                <w:sz w:val="28"/>
              </w:rPr>
              <w:t xml:space="preserve"> периодом.</w:t>
            </w:r>
          </w:p>
        </w:tc>
        <w:tc>
          <w:tcPr>
            <w:tcW w:type="dxa" w:w="4252"/>
            <w:tcBorders>
              <w:top w:color="000000" w:sz="4" w:val="single"/>
              <w:left w:color="000000" w:sz="4" w:val="single"/>
              <w:bottom w:color="000000" w:sz="4" w:val="single"/>
              <w:right w:color="000000" w:sz="4" w:val="single"/>
            </w:tcBorders>
          </w:tcPr>
          <w:p w14:paraId="92010000">
            <w:pPr>
              <w:ind/>
              <w:jc w:val="both"/>
              <w:rPr>
                <w:sz w:val="28"/>
              </w:rPr>
            </w:pPr>
            <w:r>
              <w:rPr>
                <w:sz w:val="28"/>
              </w:rPr>
              <w:t>Специалист уполномоченный</w:t>
            </w:r>
            <w:r>
              <w:rPr>
                <w:sz w:val="28"/>
              </w:rPr>
              <w:t xml:space="preserve"> </w:t>
            </w:r>
          </w:p>
          <w:p w14:paraId="93010000">
            <w:pPr>
              <w:spacing w:after="200" w:before="60" w:line="276" w:lineRule="auto"/>
              <w:ind/>
              <w:contextualSpacing w:val="1"/>
              <w:jc w:val="both"/>
              <w:rPr>
                <w:sz w:val="28"/>
              </w:rPr>
            </w:pPr>
            <w:r>
              <w:rPr>
                <w:sz w:val="28"/>
              </w:rPr>
              <w:t>о</w:t>
            </w:r>
            <w:r>
              <w:rPr>
                <w:sz w:val="28"/>
              </w:rPr>
              <w:t>существл</w:t>
            </w:r>
            <w:r>
              <w:rPr>
                <w:sz w:val="28"/>
              </w:rPr>
              <w:t>ять контроль  (надзор)</w:t>
            </w:r>
            <w:r>
              <w:rPr>
                <w:sz w:val="28"/>
              </w:rPr>
              <w:t xml:space="preserve"> за состоянием, содержанием, сохранением, использованием и </w:t>
            </w:r>
            <w:r>
              <w:rPr>
                <w:sz w:val="28"/>
              </w:rPr>
              <w:t>популяри</w:t>
            </w:r>
            <w:r>
              <w:rPr>
                <w:b w:val="1"/>
                <w:sz w:val="28"/>
              </w:rPr>
              <w:t>з</w:t>
            </w:r>
            <w:r>
              <w:rPr>
                <w:sz w:val="28"/>
              </w:rPr>
              <w:t>ацие</w:t>
            </w:r>
            <w:r>
              <w:rPr>
                <w:sz w:val="28"/>
              </w:rPr>
              <w:t>й объектов культурного наследия</w:t>
            </w:r>
            <w:r>
              <w:rPr>
                <w:sz w:val="28"/>
              </w:rPr>
              <w:t>.</w:t>
            </w:r>
          </w:p>
        </w:tc>
      </w:tr>
      <w:tr>
        <w:tc>
          <w:tcPr>
            <w:tcW w:type="dxa" w:w="959"/>
            <w:tcBorders>
              <w:top w:color="000000" w:sz="4" w:val="single"/>
              <w:left w:color="000000" w:sz="4" w:val="single"/>
              <w:bottom w:color="000000" w:sz="4" w:val="single"/>
              <w:right w:color="000000" w:sz="4" w:val="single"/>
            </w:tcBorders>
          </w:tcPr>
          <w:p w14:paraId="94010000">
            <w:pPr>
              <w:spacing w:after="200" w:before="60" w:line="276" w:lineRule="auto"/>
              <w:ind/>
              <w:jc w:val="center"/>
              <w:rPr>
                <w:sz w:val="28"/>
              </w:rPr>
            </w:pPr>
            <w:r>
              <w:rPr>
                <w:sz w:val="28"/>
              </w:rPr>
              <w:t>3.</w:t>
            </w:r>
          </w:p>
        </w:tc>
        <w:tc>
          <w:tcPr>
            <w:tcW w:type="dxa" w:w="3827"/>
            <w:tcBorders>
              <w:top w:color="000000" w:sz="4" w:val="single"/>
              <w:left w:color="000000" w:sz="4" w:val="single"/>
              <w:bottom w:color="000000" w:sz="4" w:val="single"/>
              <w:right w:color="000000" w:sz="4" w:val="single"/>
            </w:tcBorders>
          </w:tcPr>
          <w:p w14:paraId="95010000">
            <w:pPr>
              <w:spacing w:after="60" w:before="60" w:line="276" w:lineRule="auto"/>
              <w:ind/>
              <w:contextualSpacing w:val="1"/>
              <w:jc w:val="both"/>
              <w:rPr>
                <w:sz w:val="28"/>
              </w:rPr>
            </w:pPr>
            <w:r>
              <w:rPr>
                <w:sz w:val="28"/>
              </w:rPr>
              <w:t>Объявление предостережения</w:t>
            </w:r>
          </w:p>
        </w:tc>
        <w:tc>
          <w:tcPr>
            <w:tcW w:type="dxa" w:w="5812"/>
            <w:tcBorders>
              <w:top w:color="000000" w:sz="4" w:val="single"/>
              <w:left w:color="000000" w:sz="4" w:val="single"/>
              <w:bottom w:color="000000" w:sz="4" w:val="single"/>
              <w:right w:color="000000" w:sz="4" w:val="single"/>
            </w:tcBorders>
            <w:shd w:fill="auto" w:val="clear"/>
          </w:tcPr>
          <w:p w14:paraId="96010000">
            <w:pPr>
              <w:spacing w:after="60" w:before="60" w:line="276" w:lineRule="auto"/>
              <w:ind/>
              <w:contextualSpacing w:val="1"/>
              <w:jc w:val="both"/>
              <w:rPr>
                <w:sz w:val="28"/>
              </w:rPr>
            </w:pPr>
            <w:r>
              <w:rPr>
                <w:spacing w:val="-2"/>
                <w:sz w:val="28"/>
              </w:rPr>
              <w:t>не позднее 30 дней со дня получения сведений, указанных в части 1</w:t>
            </w:r>
            <w:r>
              <w:rPr>
                <w:spacing w:val="-2"/>
                <w:sz w:val="28"/>
              </w:rPr>
              <w:t xml:space="preserve"> </w:t>
            </w:r>
            <w:r>
              <w:rPr>
                <w:spacing w:val="-2"/>
                <w:sz w:val="28"/>
              </w:rPr>
              <w:t>статьи 49 Федерального закона «О государственном контроле (надзоре) и муниципальном контроле в Российской Федерации»</w:t>
            </w:r>
          </w:p>
        </w:tc>
        <w:tc>
          <w:tcPr>
            <w:tcW w:type="dxa" w:w="4252"/>
            <w:tcBorders>
              <w:top w:color="000000" w:sz="4" w:val="single"/>
              <w:left w:color="000000" w:sz="4" w:val="single"/>
              <w:bottom w:color="000000" w:sz="4" w:val="single"/>
              <w:right w:color="000000" w:sz="4" w:val="single"/>
            </w:tcBorders>
          </w:tcPr>
          <w:p w14:paraId="97010000">
            <w:pPr>
              <w:ind/>
              <w:jc w:val="both"/>
              <w:rPr>
                <w:sz w:val="28"/>
              </w:rPr>
            </w:pPr>
            <w:r>
              <w:rPr>
                <w:sz w:val="28"/>
              </w:rPr>
              <w:t>Специалист уполномоченный</w:t>
            </w:r>
            <w:r>
              <w:rPr>
                <w:sz w:val="28"/>
              </w:rPr>
              <w:t xml:space="preserve"> </w:t>
            </w:r>
          </w:p>
          <w:p w14:paraId="98010000">
            <w:pPr>
              <w:ind/>
              <w:jc w:val="both"/>
              <w:rPr>
                <w:color w:val="FF0000"/>
                <w:sz w:val="28"/>
              </w:rPr>
            </w:pPr>
            <w:r>
              <w:rPr>
                <w:sz w:val="28"/>
              </w:rPr>
              <w:t>о</w:t>
            </w:r>
            <w:r>
              <w:rPr>
                <w:sz w:val="28"/>
              </w:rPr>
              <w:t>существл</w:t>
            </w:r>
            <w:r>
              <w:rPr>
                <w:sz w:val="28"/>
              </w:rPr>
              <w:t xml:space="preserve">ять контроль </w:t>
            </w:r>
            <w:r>
              <w:rPr>
                <w:sz w:val="28"/>
              </w:rPr>
              <w:t>(надзор)</w:t>
            </w:r>
            <w:r>
              <w:rPr>
                <w:sz w:val="28"/>
              </w:rPr>
              <w:t xml:space="preserve"> за состоянием, содержанием, сохранением, использованием и популяри</w:t>
            </w:r>
            <w:r>
              <w:rPr>
                <w:b w:val="1"/>
                <w:sz w:val="28"/>
              </w:rPr>
              <w:t>з</w:t>
            </w:r>
            <w:r>
              <w:rPr>
                <w:sz w:val="28"/>
              </w:rPr>
              <w:t>ацие</w:t>
            </w:r>
            <w:r>
              <w:rPr>
                <w:sz w:val="28"/>
              </w:rPr>
              <w:t>й объектов культурного наследия</w:t>
            </w:r>
            <w:r>
              <w:rPr>
                <w:sz w:val="28"/>
              </w:rPr>
              <w:t>.</w:t>
            </w:r>
          </w:p>
        </w:tc>
      </w:tr>
      <w:tr>
        <w:tc>
          <w:tcPr>
            <w:tcW w:type="dxa" w:w="959"/>
            <w:tcBorders>
              <w:top w:color="000000" w:sz="4" w:val="single"/>
              <w:left w:color="000000" w:sz="4" w:val="single"/>
              <w:bottom w:color="000000" w:sz="4" w:val="single"/>
              <w:right w:color="000000" w:sz="4" w:val="single"/>
            </w:tcBorders>
          </w:tcPr>
          <w:p w14:paraId="99010000">
            <w:pPr>
              <w:spacing w:after="200" w:before="60" w:line="276" w:lineRule="auto"/>
              <w:ind/>
              <w:jc w:val="center"/>
              <w:rPr>
                <w:sz w:val="28"/>
              </w:rPr>
            </w:pPr>
            <w:r>
              <w:rPr>
                <w:sz w:val="28"/>
              </w:rPr>
              <w:t>4.</w:t>
            </w:r>
          </w:p>
        </w:tc>
        <w:tc>
          <w:tcPr>
            <w:tcW w:type="dxa" w:w="3827"/>
            <w:tcBorders>
              <w:top w:color="000000" w:sz="4" w:val="single"/>
              <w:left w:color="000000" w:sz="4" w:val="single"/>
              <w:bottom w:color="000000" w:sz="4" w:val="single"/>
              <w:right w:color="000000" w:sz="4" w:val="single"/>
            </w:tcBorders>
          </w:tcPr>
          <w:p w14:paraId="9A010000">
            <w:pPr>
              <w:spacing w:after="60" w:before="60" w:line="276" w:lineRule="auto"/>
              <w:ind/>
              <w:contextualSpacing w:val="1"/>
              <w:jc w:val="both"/>
              <w:rPr>
                <w:sz w:val="28"/>
              </w:rPr>
            </w:pPr>
            <w:r>
              <w:rPr>
                <w:sz w:val="28"/>
              </w:rPr>
              <w:t>Консультирование:</w:t>
            </w:r>
          </w:p>
          <w:p w14:paraId="9B010000">
            <w:pPr>
              <w:spacing w:after="60" w:before="60" w:line="276" w:lineRule="auto"/>
              <w:ind/>
              <w:contextualSpacing w:val="1"/>
              <w:jc w:val="both"/>
              <w:rPr>
                <w:sz w:val="28"/>
              </w:rPr>
            </w:pPr>
            <w:r>
              <w:rPr>
                <w:sz w:val="28"/>
              </w:rPr>
              <w:t>- по телефону;</w:t>
            </w:r>
          </w:p>
          <w:p w14:paraId="9C010000">
            <w:pPr>
              <w:spacing w:after="60" w:before="60" w:line="276" w:lineRule="auto"/>
              <w:ind/>
              <w:contextualSpacing w:val="1"/>
              <w:jc w:val="both"/>
              <w:rPr>
                <w:sz w:val="28"/>
              </w:rPr>
            </w:pPr>
            <w:r>
              <w:rPr>
                <w:sz w:val="28"/>
              </w:rPr>
              <w:t>-</w:t>
            </w:r>
            <w:r>
              <w:rPr>
                <w:sz w:val="28"/>
              </w:rPr>
              <w:t xml:space="preserve"> на личном приеме;</w:t>
            </w:r>
          </w:p>
          <w:p w14:paraId="9D010000">
            <w:pPr>
              <w:spacing w:after="60" w:before="60" w:line="276" w:lineRule="auto"/>
              <w:ind/>
              <w:contextualSpacing w:val="1"/>
              <w:jc w:val="both"/>
              <w:rPr>
                <w:sz w:val="28"/>
              </w:rPr>
            </w:pPr>
            <w:r>
              <w:rPr>
                <w:sz w:val="28"/>
              </w:rPr>
              <w:t>- в письменной форме;</w:t>
            </w:r>
          </w:p>
          <w:p w14:paraId="9E010000">
            <w:pPr>
              <w:spacing w:after="60" w:before="60" w:line="276" w:lineRule="auto"/>
              <w:ind/>
              <w:contextualSpacing w:val="1"/>
              <w:jc w:val="both"/>
              <w:rPr>
                <w:sz w:val="28"/>
              </w:rPr>
            </w:pPr>
            <w:r>
              <w:rPr>
                <w:sz w:val="28"/>
              </w:rPr>
              <w:t>- в ходе проведения профилактического мероприятия, контрольного мероприятия</w:t>
            </w:r>
          </w:p>
          <w:p w14:paraId="9F010000">
            <w:pPr>
              <w:spacing w:after="60" w:before="60" w:line="276" w:lineRule="auto"/>
              <w:ind/>
              <w:contextualSpacing w:val="1"/>
              <w:jc w:val="both"/>
              <w:rPr>
                <w:sz w:val="28"/>
              </w:rPr>
            </w:pPr>
            <w:r>
              <w:rPr>
                <w:sz w:val="28"/>
              </w:rPr>
              <w:t>Консультирование осуществляется по следующим вопросам:</w:t>
            </w:r>
          </w:p>
          <w:p w14:paraId="A0010000">
            <w:pPr>
              <w:spacing w:after="60" w:before="60" w:line="276" w:lineRule="auto"/>
              <w:ind/>
              <w:contextualSpacing w:val="1"/>
              <w:jc w:val="both"/>
              <w:rPr>
                <w:sz w:val="28"/>
              </w:rPr>
            </w:pPr>
            <w:r>
              <w:rPr>
                <w:sz w:val="28"/>
              </w:rPr>
              <w:t xml:space="preserve">1) наличие и (или) содержание обязательных </w:t>
            </w:r>
            <w:r>
              <w:rPr>
                <w:sz w:val="28"/>
              </w:rPr>
              <w:t>требований;</w:t>
            </w:r>
          </w:p>
          <w:p w14:paraId="A1010000">
            <w:pPr>
              <w:spacing w:after="60" w:before="60" w:line="276" w:lineRule="auto"/>
              <w:ind/>
              <w:contextualSpacing w:val="1"/>
              <w:jc w:val="both"/>
              <w:rPr>
                <w:sz w:val="28"/>
              </w:rPr>
            </w:pPr>
            <w:r>
              <w:rPr>
                <w:sz w:val="28"/>
              </w:rPr>
              <w:t>2) периодичность и порядок проведения контрольных (надзорных) мероприятий;</w:t>
            </w:r>
          </w:p>
          <w:p w14:paraId="A2010000">
            <w:pPr>
              <w:spacing w:after="60" w:before="60" w:line="276" w:lineRule="auto"/>
              <w:ind/>
              <w:contextualSpacing w:val="1"/>
              <w:jc w:val="both"/>
              <w:rPr>
                <w:sz w:val="28"/>
              </w:rPr>
            </w:pPr>
            <w:r>
              <w:rPr>
                <w:sz w:val="28"/>
              </w:rPr>
              <w:t>3) порядок выполнения обязательных требований.</w:t>
            </w:r>
          </w:p>
        </w:tc>
        <w:tc>
          <w:tcPr>
            <w:tcW w:type="dxa" w:w="5812"/>
            <w:tcBorders>
              <w:top w:color="000000" w:sz="4" w:val="single"/>
              <w:left w:color="000000" w:sz="4" w:val="single"/>
              <w:bottom w:color="000000" w:sz="4" w:val="single"/>
              <w:right w:color="000000" w:sz="4" w:val="single"/>
            </w:tcBorders>
          </w:tcPr>
          <w:p w14:paraId="A3010000">
            <w:pPr>
              <w:spacing w:after="200" w:before="60" w:line="276" w:lineRule="auto"/>
              <w:ind/>
              <w:contextualSpacing w:val="1"/>
              <w:jc w:val="both"/>
              <w:rPr>
                <w:sz w:val="28"/>
              </w:rPr>
            </w:pPr>
            <w:r>
              <w:rPr>
                <w:sz w:val="28"/>
              </w:rPr>
              <w:t>ежедневно, кроме выходных и праздничных дней с 10:00 до 16:00, перерыв с 1</w:t>
            </w:r>
            <w:r>
              <w:rPr>
                <w:sz w:val="28"/>
              </w:rPr>
              <w:t>3:0</w:t>
            </w:r>
            <w:r>
              <w:rPr>
                <w:sz w:val="28"/>
              </w:rPr>
              <w:t>0 до 1</w:t>
            </w:r>
            <w:r>
              <w:rPr>
                <w:sz w:val="28"/>
              </w:rPr>
              <w:t>4</w:t>
            </w:r>
            <w:r>
              <w:rPr>
                <w:sz w:val="28"/>
              </w:rPr>
              <w:t>:30</w:t>
            </w:r>
            <w:r>
              <w:rPr>
                <w:sz w:val="28"/>
              </w:rPr>
              <w:t>.Часы работы с 9:</w:t>
            </w:r>
            <w:r>
              <w:rPr>
                <w:sz w:val="28"/>
              </w:rPr>
              <w:t xml:space="preserve">00 </w:t>
            </w:r>
            <w:r>
              <w:rPr>
                <w:sz w:val="28"/>
              </w:rPr>
              <w:t>до 17:45.</w:t>
            </w:r>
          </w:p>
        </w:tc>
        <w:tc>
          <w:tcPr>
            <w:tcW w:type="dxa" w:w="4252"/>
            <w:tcBorders>
              <w:top w:color="000000" w:sz="4" w:val="single"/>
              <w:left w:color="000000" w:sz="4" w:val="single"/>
              <w:bottom w:color="000000" w:sz="4" w:val="single"/>
              <w:right w:color="000000" w:sz="4" w:val="single"/>
            </w:tcBorders>
          </w:tcPr>
          <w:p w14:paraId="A4010000">
            <w:pPr>
              <w:ind/>
              <w:jc w:val="both"/>
              <w:rPr>
                <w:sz w:val="28"/>
              </w:rPr>
            </w:pPr>
            <w:r>
              <w:rPr>
                <w:sz w:val="28"/>
              </w:rPr>
              <w:t>Специалист уполномоченный</w:t>
            </w:r>
            <w:r>
              <w:rPr>
                <w:sz w:val="28"/>
              </w:rPr>
              <w:t xml:space="preserve"> </w:t>
            </w:r>
          </w:p>
          <w:p w14:paraId="A5010000">
            <w:pPr>
              <w:widowControl w:val="0"/>
              <w:ind/>
              <w:jc w:val="both"/>
              <w:rPr>
                <w:sz w:val="28"/>
              </w:rPr>
            </w:pPr>
            <w:r>
              <w:rPr>
                <w:sz w:val="28"/>
              </w:rPr>
              <w:t>о</w:t>
            </w:r>
            <w:r>
              <w:rPr>
                <w:sz w:val="28"/>
              </w:rPr>
              <w:t>существл</w:t>
            </w:r>
            <w:r>
              <w:rPr>
                <w:sz w:val="28"/>
              </w:rPr>
              <w:t>ять контроль  (надзор)</w:t>
            </w:r>
            <w:r>
              <w:rPr>
                <w:sz w:val="28"/>
              </w:rPr>
              <w:t xml:space="preserve"> за состоянием, содержанием, сохранением, использованием и популяри</w:t>
            </w:r>
            <w:r>
              <w:rPr>
                <w:b w:val="1"/>
                <w:sz w:val="28"/>
              </w:rPr>
              <w:t>з</w:t>
            </w:r>
            <w:r>
              <w:rPr>
                <w:sz w:val="28"/>
              </w:rPr>
              <w:t>ацие</w:t>
            </w:r>
            <w:r>
              <w:rPr>
                <w:sz w:val="28"/>
              </w:rPr>
              <w:t>й объектов культурного наследия</w:t>
            </w:r>
            <w:r>
              <w:rPr>
                <w:sz w:val="28"/>
              </w:rPr>
              <w:t>.</w:t>
            </w:r>
          </w:p>
        </w:tc>
      </w:tr>
      <w:tr>
        <w:tc>
          <w:tcPr>
            <w:tcW w:type="dxa" w:w="959"/>
            <w:tcBorders>
              <w:top w:color="000000" w:sz="4" w:val="single"/>
              <w:left w:color="000000" w:sz="4" w:val="single"/>
              <w:bottom w:color="000000" w:sz="4" w:val="single"/>
              <w:right w:color="000000" w:sz="4" w:val="single"/>
            </w:tcBorders>
          </w:tcPr>
          <w:p w14:paraId="A6010000">
            <w:pPr>
              <w:spacing w:after="200" w:before="60" w:line="276" w:lineRule="auto"/>
              <w:ind/>
              <w:jc w:val="center"/>
              <w:rPr>
                <w:sz w:val="28"/>
              </w:rPr>
            </w:pPr>
            <w:r>
              <w:rPr>
                <w:sz w:val="28"/>
              </w:rPr>
              <w:t>5.</w:t>
            </w:r>
          </w:p>
        </w:tc>
        <w:tc>
          <w:tcPr>
            <w:tcW w:type="dxa" w:w="3827"/>
            <w:tcBorders>
              <w:top w:color="000000" w:sz="4" w:val="single"/>
              <w:left w:color="000000" w:sz="4" w:val="single"/>
              <w:bottom w:color="000000" w:sz="4" w:val="single"/>
              <w:right w:color="000000" w:sz="4" w:val="single"/>
            </w:tcBorders>
          </w:tcPr>
          <w:p w14:paraId="A7010000">
            <w:pPr>
              <w:spacing w:after="60" w:before="60" w:line="276" w:lineRule="auto"/>
              <w:ind/>
              <w:contextualSpacing w:val="1"/>
              <w:jc w:val="both"/>
              <w:rPr>
                <w:sz w:val="28"/>
              </w:rPr>
            </w:pPr>
            <w:r>
              <w:rPr>
                <w:sz w:val="28"/>
              </w:rPr>
              <w:t>Профилактический визит.</w:t>
            </w:r>
          </w:p>
          <w:p w14:paraId="A8010000">
            <w:pPr>
              <w:spacing w:after="60" w:before="60" w:line="276" w:lineRule="auto"/>
              <w:ind/>
              <w:contextualSpacing w:val="1"/>
              <w:jc w:val="both"/>
              <w:rPr>
                <w:sz w:val="28"/>
              </w:rPr>
            </w:pPr>
            <w:r>
              <w:rPr>
                <w:color w:val="010101"/>
                <w:sz w:val="28"/>
                <w:highlight w:val="white"/>
              </w:rPr>
              <w:t>Проводится должностным лицом Комитета в форме профилактической беседы по месту осуществления деятельности подконтрольного субъекта либо путем использования видео-конференц-связи.</w:t>
            </w:r>
          </w:p>
        </w:tc>
        <w:tc>
          <w:tcPr>
            <w:tcW w:type="dxa" w:w="5812"/>
            <w:tcBorders>
              <w:top w:color="000000" w:sz="4" w:val="single"/>
              <w:left w:color="000000" w:sz="4" w:val="single"/>
              <w:bottom w:color="000000" w:sz="4" w:val="single"/>
              <w:right w:color="000000" w:sz="4" w:val="single"/>
            </w:tcBorders>
          </w:tcPr>
          <w:p w14:paraId="A9010000">
            <w:pPr>
              <w:spacing w:after="200" w:before="60" w:line="276" w:lineRule="auto"/>
              <w:ind/>
              <w:contextualSpacing w:val="1"/>
              <w:jc w:val="both"/>
              <w:rPr>
                <w:sz w:val="28"/>
              </w:rPr>
            </w:pPr>
            <w:r>
              <w:rPr>
                <w:sz w:val="28"/>
              </w:rPr>
              <w:t>Ежеквартально</w:t>
            </w:r>
          </w:p>
        </w:tc>
        <w:tc>
          <w:tcPr>
            <w:tcW w:type="dxa" w:w="4252"/>
            <w:tcBorders>
              <w:top w:color="000000" w:sz="4" w:val="single"/>
              <w:left w:color="000000" w:sz="4" w:val="single"/>
              <w:bottom w:color="000000" w:sz="4" w:val="single"/>
              <w:right w:color="000000" w:sz="4" w:val="single"/>
            </w:tcBorders>
          </w:tcPr>
          <w:p w14:paraId="AA010000">
            <w:pPr>
              <w:ind/>
              <w:jc w:val="both"/>
              <w:rPr>
                <w:sz w:val="28"/>
              </w:rPr>
            </w:pPr>
            <w:r>
              <w:rPr>
                <w:sz w:val="28"/>
              </w:rPr>
              <w:t>Специалист уполномоченный</w:t>
            </w:r>
            <w:r>
              <w:rPr>
                <w:sz w:val="28"/>
              </w:rPr>
              <w:t xml:space="preserve"> </w:t>
            </w:r>
          </w:p>
          <w:p w14:paraId="AB010000">
            <w:pPr>
              <w:ind/>
              <w:jc w:val="both"/>
              <w:rPr>
                <w:sz w:val="28"/>
              </w:rPr>
            </w:pPr>
            <w:r>
              <w:rPr>
                <w:sz w:val="28"/>
              </w:rPr>
              <w:t>о</w:t>
            </w:r>
            <w:r>
              <w:rPr>
                <w:sz w:val="28"/>
              </w:rPr>
              <w:t>существл</w:t>
            </w:r>
            <w:r>
              <w:rPr>
                <w:sz w:val="28"/>
              </w:rPr>
              <w:t>ять контроль  (надзор)</w:t>
            </w:r>
            <w:r>
              <w:rPr>
                <w:sz w:val="28"/>
              </w:rPr>
              <w:t xml:space="preserve"> за состоянием, содержанием, сохранением, использованием и популяри</w:t>
            </w:r>
            <w:r>
              <w:rPr>
                <w:b w:val="1"/>
                <w:sz w:val="28"/>
              </w:rPr>
              <w:t>з</w:t>
            </w:r>
            <w:r>
              <w:rPr>
                <w:sz w:val="28"/>
              </w:rPr>
              <w:t>ацие</w:t>
            </w:r>
            <w:r>
              <w:rPr>
                <w:sz w:val="28"/>
              </w:rPr>
              <w:t>й объектов культурного наследия</w:t>
            </w:r>
            <w:r>
              <w:rPr>
                <w:sz w:val="28"/>
              </w:rPr>
              <w:t>.</w:t>
            </w:r>
          </w:p>
        </w:tc>
      </w:tr>
    </w:tbl>
    <w:p w14:paraId="AC010000">
      <w:pPr>
        <w:pStyle w:val="Style_4"/>
        <w:spacing w:after="0" w:before="0"/>
        <w:ind/>
        <w:jc w:val="center"/>
        <w:rPr>
          <w:b w:val="1"/>
          <w:color w:val="000000"/>
          <w:sz w:val="28"/>
        </w:rPr>
      </w:pPr>
    </w:p>
    <w:sectPr>
      <w:headerReference r:id="rId2" w:type="first"/>
      <w:pgSz w:h="11907" w:orient="landscape" w:w="16840"/>
      <w:pgMar w:bottom="851" w:footer="680" w:gutter="0" w:header="680" w:left="1134" w:right="1134" w:top="170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86"/>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0" w:line="240" w:lineRule="auto"/>
      <w:ind/>
    </w:pPr>
    <w:rPr>
      <w:rFonts w:ascii="Times New Roman" w:hAnsi="Times New Roman"/>
      <w:sz w:val="24"/>
    </w:rPr>
  </w:style>
  <w:style w:default="1" w:styleId="Style_6_ch" w:type="character">
    <w:name w:val="Normal"/>
    <w:link w:val="Style_6"/>
    <w:rPr>
      <w:rFonts w:ascii="Times New Roman" w:hAnsi="Times New Roman"/>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 w:type="paragraph">
    <w:name w:val="header"/>
    <w:basedOn w:val="Style_6"/>
    <w:link w:val="Style_1_ch"/>
    <w:pPr>
      <w:tabs>
        <w:tab w:leader="none" w:pos="4153" w:val="center"/>
        <w:tab w:leader="none" w:pos="8306" w:val="right"/>
      </w:tabs>
      <w:ind/>
    </w:pPr>
    <w:rPr>
      <w:sz w:val="20"/>
    </w:rPr>
  </w:style>
  <w:style w:styleId="Style_1_ch" w:type="character">
    <w:name w:val="header"/>
    <w:basedOn w:val="Style_6_ch"/>
    <w:link w:val="Style_1"/>
    <w:rPr>
      <w:sz w:val="20"/>
    </w:rPr>
  </w:style>
  <w:style w:styleId="Style_4" w:type="paragraph">
    <w:name w:val="Normal (Web)"/>
    <w:basedOn w:val="Style_6"/>
    <w:link w:val="Style_4_ch"/>
    <w:pPr>
      <w:spacing w:afterAutospacing="on" w:beforeAutospacing="on"/>
      <w:ind/>
    </w:pPr>
  </w:style>
  <w:style w:styleId="Style_4_ch" w:type="character">
    <w:name w:val="Normal (Web)"/>
    <w:basedOn w:val="Style_6_ch"/>
    <w:link w:val="Style_4"/>
  </w:style>
  <w:style w:styleId="Style_13" w:type="paragraph">
    <w:name w:val="Default Paragraph Font"/>
    <w:link w:val="Style_13_ch"/>
  </w:style>
  <w:style w:styleId="Style_13_ch" w:type="character">
    <w:name w:val="Default Paragraph Font"/>
    <w:link w:val="Style_13"/>
  </w:style>
  <w:style w:styleId="Style_14" w:type="paragraph">
    <w:name w:val="toc 3"/>
    <w:next w:val="Style_6"/>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6"/>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3" w:type="paragraph">
    <w:name w:val="heading 1"/>
    <w:basedOn w:val="Style_6"/>
    <w:next w:val="Style_6"/>
    <w:link w:val="Style_3_ch"/>
    <w:uiPriority w:val="9"/>
    <w:qFormat/>
    <w:pPr>
      <w:keepNext w:val="1"/>
      <w:ind/>
      <w:jc w:val="center"/>
      <w:outlineLvl w:val="0"/>
    </w:pPr>
    <w:rPr>
      <w:b w:val="1"/>
      <w:sz w:val="28"/>
    </w:rPr>
  </w:style>
  <w:style w:styleId="Style_3_ch" w:type="character">
    <w:name w:val="heading 1"/>
    <w:basedOn w:val="Style_6_ch"/>
    <w:link w:val="Style_3"/>
    <w:rPr>
      <w:b w:val="1"/>
      <w:sz w:val="28"/>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6"/>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Balloon Text"/>
    <w:basedOn w:val="Style_6"/>
    <w:link w:val="Style_19_ch"/>
    <w:rPr>
      <w:rFonts w:ascii="Tahoma" w:hAnsi="Tahoma"/>
      <w:sz w:val="16"/>
    </w:rPr>
  </w:style>
  <w:style w:styleId="Style_19_ch" w:type="character">
    <w:name w:val="Balloon Text"/>
    <w:basedOn w:val="Style_6_ch"/>
    <w:link w:val="Style_19"/>
    <w:rPr>
      <w:rFonts w:ascii="Tahoma" w:hAnsi="Tahoma"/>
      <w:sz w:val="16"/>
    </w:rPr>
  </w:style>
  <w:style w:styleId="Style_20" w:type="paragraph">
    <w:name w:val="footer"/>
    <w:basedOn w:val="Style_6"/>
    <w:link w:val="Style_20_ch"/>
    <w:pPr>
      <w:tabs>
        <w:tab w:leader="none" w:pos="4153" w:val="center"/>
        <w:tab w:leader="none" w:pos="8306" w:val="right"/>
      </w:tabs>
      <w:ind/>
    </w:pPr>
    <w:rPr>
      <w:sz w:val="20"/>
    </w:rPr>
  </w:style>
  <w:style w:styleId="Style_20_ch" w:type="character">
    <w:name w:val="footer"/>
    <w:basedOn w:val="Style_6_ch"/>
    <w:link w:val="Style_20"/>
    <w:rPr>
      <w:sz w:val="20"/>
    </w:rPr>
  </w:style>
  <w:style w:styleId="Style_21" w:type="paragraph">
    <w:name w:val="toc 9"/>
    <w:next w:val="Style_6"/>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6"/>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6"/>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6"/>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6"/>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6"/>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basedOn w:val="Style_6"/>
    <w:next w:val="Style_6"/>
    <w:link w:val="Style_27_ch"/>
    <w:uiPriority w:val="9"/>
    <w:qFormat/>
    <w:pPr>
      <w:keepNext w:val="1"/>
      <w:ind/>
      <w:jc w:val="center"/>
      <w:outlineLvl w:val="1"/>
    </w:pPr>
    <w:rPr>
      <w:b w:val="1"/>
    </w:rPr>
  </w:style>
  <w:style w:styleId="Style_27_ch" w:type="character">
    <w:name w:val="heading 2"/>
    <w:basedOn w:val="Style_6_ch"/>
    <w:link w:val="Style_27"/>
    <w:rPr>
      <w:b w:val="1"/>
    </w:rPr>
  </w:style>
  <w:style w:styleId="Style_28" w:type="paragraph">
    <w:name w:val="pt-defaultparagraphfont-000004"/>
    <w:basedOn w:val="Style_13"/>
    <w:link w:val="Style_28_ch"/>
  </w:style>
  <w:style w:styleId="Style_28_ch" w:type="character">
    <w:name w:val="pt-defaultparagraphfont-000004"/>
    <w:basedOn w:val="Style_13_ch"/>
    <w:link w:val="Style_28"/>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header2.xml" Type="http://schemas.openxmlformats.org/officeDocument/2006/relationships/head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2024-12-15T23:27:06Z</dcterms:modified>
</cp:coreProperties>
</file>